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7DB98" w14:textId="77777777" w:rsidR="006B649E" w:rsidRDefault="006D17DE">
      <w:pPr>
        <w:spacing w:line="200" w:lineRule="exact"/>
      </w:pPr>
      <w:r>
        <w:pict w14:anchorId="7EBBC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9.5pt;margin-top:27.7pt;width:539.95pt;height:786.65pt;z-index:-251658752;mso-position-horizontal-relative:page;mso-position-vertical-relative:page">
            <v:imagedata r:id="rId5" o:title=""/>
            <w10:wrap anchorx="page" anchory="page"/>
          </v:shape>
        </w:pict>
      </w:r>
    </w:p>
    <w:p w14:paraId="51A04C88" w14:textId="77777777" w:rsidR="006B649E" w:rsidRDefault="006B649E">
      <w:pPr>
        <w:spacing w:line="200" w:lineRule="exact"/>
      </w:pPr>
    </w:p>
    <w:p w14:paraId="0DA4CFFB" w14:textId="77777777" w:rsidR="006B649E" w:rsidRDefault="006B649E">
      <w:pPr>
        <w:spacing w:line="200" w:lineRule="exact"/>
      </w:pPr>
    </w:p>
    <w:p w14:paraId="06CB8A1B" w14:textId="77777777" w:rsidR="006B649E" w:rsidRDefault="006B649E">
      <w:pPr>
        <w:spacing w:line="200" w:lineRule="exact"/>
      </w:pPr>
    </w:p>
    <w:p w14:paraId="497DF0F2" w14:textId="77777777" w:rsidR="006B649E" w:rsidRDefault="006B649E">
      <w:pPr>
        <w:spacing w:line="200" w:lineRule="exact"/>
      </w:pPr>
    </w:p>
    <w:p w14:paraId="7F914429" w14:textId="77777777" w:rsidR="006B649E" w:rsidRDefault="006B649E">
      <w:pPr>
        <w:spacing w:line="200" w:lineRule="exact"/>
      </w:pPr>
    </w:p>
    <w:p w14:paraId="02F0C758" w14:textId="77777777" w:rsidR="006B649E" w:rsidRDefault="006B649E">
      <w:pPr>
        <w:spacing w:line="200" w:lineRule="exact"/>
      </w:pPr>
    </w:p>
    <w:p w14:paraId="6A1C248D" w14:textId="77777777" w:rsidR="006B649E" w:rsidRDefault="006B649E">
      <w:pPr>
        <w:spacing w:line="200" w:lineRule="exact"/>
      </w:pPr>
    </w:p>
    <w:p w14:paraId="54B32E29" w14:textId="77777777" w:rsidR="006B649E" w:rsidRDefault="006B649E">
      <w:pPr>
        <w:spacing w:line="200" w:lineRule="exact"/>
      </w:pPr>
    </w:p>
    <w:p w14:paraId="78FEABD0" w14:textId="77777777" w:rsidR="006B649E" w:rsidRDefault="006B649E">
      <w:pPr>
        <w:spacing w:line="200" w:lineRule="exact"/>
      </w:pPr>
    </w:p>
    <w:p w14:paraId="5D12515B" w14:textId="77777777" w:rsidR="006B649E" w:rsidRDefault="006B649E">
      <w:pPr>
        <w:spacing w:line="200" w:lineRule="exact"/>
      </w:pPr>
    </w:p>
    <w:p w14:paraId="51678C10" w14:textId="77777777" w:rsidR="006B649E" w:rsidRDefault="006B649E">
      <w:pPr>
        <w:spacing w:line="200" w:lineRule="exact"/>
      </w:pPr>
    </w:p>
    <w:p w14:paraId="0C7512D0" w14:textId="77777777" w:rsidR="006B649E" w:rsidRDefault="006B649E">
      <w:pPr>
        <w:spacing w:line="200" w:lineRule="exact"/>
      </w:pPr>
    </w:p>
    <w:p w14:paraId="025F769B" w14:textId="77777777" w:rsidR="006B649E" w:rsidRDefault="006B649E">
      <w:pPr>
        <w:spacing w:line="200" w:lineRule="exact"/>
      </w:pPr>
    </w:p>
    <w:p w14:paraId="2355BEE6" w14:textId="77777777" w:rsidR="006B649E" w:rsidRDefault="006B649E">
      <w:pPr>
        <w:spacing w:line="200" w:lineRule="exact"/>
      </w:pPr>
    </w:p>
    <w:p w14:paraId="2B8945F0" w14:textId="77777777" w:rsidR="006B649E" w:rsidRDefault="006B649E">
      <w:pPr>
        <w:spacing w:line="200" w:lineRule="exact"/>
      </w:pPr>
    </w:p>
    <w:p w14:paraId="4C4CE480" w14:textId="77777777" w:rsidR="006B649E" w:rsidRDefault="006B649E">
      <w:pPr>
        <w:spacing w:line="200" w:lineRule="exact"/>
      </w:pPr>
    </w:p>
    <w:p w14:paraId="3CE6D3F3" w14:textId="77777777" w:rsidR="006B649E" w:rsidRDefault="006B649E">
      <w:pPr>
        <w:spacing w:line="200" w:lineRule="exact"/>
      </w:pPr>
    </w:p>
    <w:p w14:paraId="7E5DD5C2" w14:textId="77777777" w:rsidR="006B649E" w:rsidRDefault="006B649E">
      <w:pPr>
        <w:spacing w:before="14" w:line="220" w:lineRule="exact"/>
        <w:rPr>
          <w:sz w:val="22"/>
          <w:szCs w:val="22"/>
        </w:rPr>
      </w:pPr>
    </w:p>
    <w:p w14:paraId="6D3F380B" w14:textId="77777777" w:rsidR="004F583D" w:rsidRDefault="004F583D" w:rsidP="002E6D99">
      <w:pPr>
        <w:rPr>
          <w:rFonts w:ascii="Malgun Gothic" w:eastAsia="Malgun Gothic" w:hAnsi="Malgun Gothic" w:cs="Malgun Gothic"/>
          <w:color w:val="B8A879"/>
          <w:position w:val="1"/>
          <w:sz w:val="52"/>
          <w:szCs w:val="52"/>
        </w:rPr>
      </w:pPr>
    </w:p>
    <w:p w14:paraId="6002BAD6" w14:textId="77777777" w:rsidR="00607FF9" w:rsidRDefault="00607FF9" w:rsidP="00091EA5">
      <w:pPr>
        <w:rPr>
          <w:rFonts w:ascii="Malgun Gothic" w:eastAsia="Malgun Gothic" w:hAnsi="Malgun Gothic" w:cs="Malgun Gothic"/>
          <w:b/>
          <w:color w:val="B8A879"/>
          <w:position w:val="1"/>
          <w:sz w:val="52"/>
          <w:szCs w:val="52"/>
        </w:rPr>
      </w:pPr>
    </w:p>
    <w:p w14:paraId="31571627" w14:textId="4E2A2C7F" w:rsidR="00F13834" w:rsidRDefault="00F544AE" w:rsidP="00091EA5">
      <w:pPr>
        <w:rPr>
          <w:rFonts w:ascii="Malgun Gothic" w:eastAsia="Malgun Gothic" w:hAnsi="Malgun Gothic" w:cs="Malgun Gothic"/>
          <w:b/>
          <w:i/>
          <w:color w:val="B8A879"/>
          <w:position w:val="1"/>
          <w:sz w:val="40"/>
          <w:szCs w:val="40"/>
        </w:rPr>
      </w:pPr>
      <w:r>
        <w:rPr>
          <w:rFonts w:ascii="Malgun Gothic" w:eastAsia="Malgun Gothic" w:hAnsi="Malgun Gothic" w:cs="Malgun Gothic"/>
          <w:b/>
          <w:color w:val="B8A879"/>
          <w:position w:val="1"/>
          <w:sz w:val="52"/>
          <w:szCs w:val="52"/>
        </w:rPr>
        <w:t>Draft</w:t>
      </w:r>
      <w:r w:rsidR="00F13834">
        <w:rPr>
          <w:rFonts w:ascii="Malgun Gothic" w:eastAsia="Malgun Gothic" w:hAnsi="Malgun Gothic" w:cs="Malgun Gothic"/>
          <w:b/>
          <w:color w:val="B8A879"/>
          <w:position w:val="1"/>
          <w:sz w:val="52"/>
          <w:szCs w:val="52"/>
        </w:rPr>
        <w:t xml:space="preserve"> Medicines and Poisons Regulat</w:t>
      </w:r>
      <w:r>
        <w:rPr>
          <w:rFonts w:ascii="Malgun Gothic" w:eastAsia="Malgun Gothic" w:hAnsi="Malgun Gothic" w:cs="Malgun Gothic"/>
          <w:b/>
          <w:color w:val="B8A879"/>
          <w:position w:val="1"/>
          <w:sz w:val="52"/>
          <w:szCs w:val="52"/>
        </w:rPr>
        <w:t>ion</w:t>
      </w:r>
      <w:r w:rsidR="00F13834">
        <w:rPr>
          <w:rFonts w:ascii="Malgun Gothic" w:eastAsia="Malgun Gothic" w:hAnsi="Malgun Gothic" w:cs="Malgun Gothic"/>
          <w:b/>
          <w:color w:val="B8A879"/>
          <w:position w:val="1"/>
          <w:sz w:val="52"/>
          <w:szCs w:val="52"/>
        </w:rPr>
        <w:t xml:space="preserve"> 201</w:t>
      </w:r>
      <w:r>
        <w:rPr>
          <w:rFonts w:ascii="Malgun Gothic" w:eastAsia="Malgun Gothic" w:hAnsi="Malgun Gothic" w:cs="Malgun Gothic"/>
          <w:b/>
          <w:color w:val="B8A879"/>
          <w:position w:val="1"/>
          <w:sz w:val="52"/>
          <w:szCs w:val="52"/>
        </w:rPr>
        <w:t>9</w:t>
      </w:r>
      <w:r w:rsidR="00091EA5" w:rsidRPr="00607FF9">
        <w:rPr>
          <w:rFonts w:ascii="Malgun Gothic" w:eastAsia="Malgun Gothic" w:hAnsi="Malgun Gothic" w:cs="Malgun Gothic"/>
          <w:b/>
          <w:i/>
          <w:color w:val="B8A879"/>
          <w:position w:val="1"/>
          <w:sz w:val="40"/>
          <w:szCs w:val="40"/>
        </w:rPr>
        <w:t xml:space="preserve"> </w:t>
      </w:r>
    </w:p>
    <w:p w14:paraId="002EE1B0" w14:textId="7D7381B0" w:rsidR="00091EA5" w:rsidRDefault="00091EA5" w:rsidP="00091EA5">
      <w:pPr>
        <w:rPr>
          <w:rFonts w:ascii="Malgun Gothic" w:eastAsia="Malgun Gothic" w:hAnsi="Malgun Gothic" w:cs="Malgun Gothic"/>
          <w:b/>
          <w:i/>
          <w:color w:val="B8A879"/>
          <w:position w:val="1"/>
          <w:sz w:val="40"/>
          <w:szCs w:val="40"/>
        </w:rPr>
      </w:pPr>
      <w:r w:rsidRPr="00607FF9">
        <w:rPr>
          <w:rFonts w:ascii="Malgun Gothic" w:eastAsia="Malgun Gothic" w:hAnsi="Malgun Gothic" w:cs="Malgun Gothic"/>
          <w:b/>
          <w:i/>
          <w:color w:val="B8A879"/>
          <w:position w:val="1"/>
          <w:sz w:val="40"/>
          <w:szCs w:val="40"/>
        </w:rPr>
        <w:t>Co</w:t>
      </w:r>
      <w:r w:rsidR="00F13834">
        <w:rPr>
          <w:rFonts w:ascii="Malgun Gothic" w:eastAsia="Malgun Gothic" w:hAnsi="Malgun Gothic" w:cs="Malgun Gothic"/>
          <w:b/>
          <w:i/>
          <w:color w:val="B8A879"/>
          <w:position w:val="1"/>
          <w:sz w:val="40"/>
          <w:szCs w:val="40"/>
        </w:rPr>
        <w:t xml:space="preserve">nsultation by </w:t>
      </w:r>
      <w:r w:rsidR="00F544AE">
        <w:rPr>
          <w:rFonts w:ascii="Malgun Gothic" w:eastAsia="Malgun Gothic" w:hAnsi="Malgun Gothic" w:cs="Malgun Gothic"/>
          <w:b/>
          <w:i/>
          <w:color w:val="B8A879"/>
          <w:position w:val="1"/>
          <w:sz w:val="40"/>
          <w:szCs w:val="40"/>
        </w:rPr>
        <w:t>Parliamentary Committee</w:t>
      </w:r>
    </w:p>
    <w:p w14:paraId="534327EF" w14:textId="2A756CA4" w:rsidR="00F544AE" w:rsidRPr="00F544AE" w:rsidRDefault="00F544AE" w:rsidP="00091EA5">
      <w:pPr>
        <w:rPr>
          <w:rFonts w:ascii="Malgun Gothic" w:eastAsia="Malgun Gothic" w:hAnsi="Malgun Gothic" w:cs="Malgun Gothic"/>
          <w:b/>
          <w:i/>
          <w:color w:val="B8A879"/>
          <w:position w:val="1"/>
          <w:sz w:val="24"/>
          <w:szCs w:val="24"/>
        </w:rPr>
      </w:pPr>
      <w:r>
        <w:rPr>
          <w:rFonts w:ascii="Malgun Gothic" w:eastAsia="Malgun Gothic" w:hAnsi="Malgun Gothic" w:cs="Malgun Gothic"/>
          <w:b/>
          <w:i/>
          <w:color w:val="B8A879"/>
          <w:position w:val="1"/>
          <w:sz w:val="24"/>
          <w:szCs w:val="24"/>
        </w:rPr>
        <w:t>State Development, Natural Resources and Agricultural Industry Development Committee</w:t>
      </w:r>
    </w:p>
    <w:p w14:paraId="4F11BFC0" w14:textId="77777777" w:rsidR="00F544AE" w:rsidRPr="00F544AE" w:rsidRDefault="00F544AE" w:rsidP="00091EA5">
      <w:pPr>
        <w:rPr>
          <w:rFonts w:ascii="Malgun Gothic" w:eastAsia="Malgun Gothic" w:hAnsi="Malgun Gothic" w:cs="Malgun Gothic"/>
          <w:b/>
          <w:i/>
          <w:color w:val="B8A879"/>
          <w:position w:val="1"/>
          <w:sz w:val="24"/>
          <w:szCs w:val="24"/>
        </w:rPr>
      </w:pPr>
    </w:p>
    <w:p w14:paraId="19AF6828" w14:textId="77777777" w:rsidR="006B649E" w:rsidRDefault="006B649E">
      <w:pPr>
        <w:spacing w:before="1" w:line="100" w:lineRule="exact"/>
        <w:rPr>
          <w:sz w:val="10"/>
          <w:szCs w:val="10"/>
        </w:rPr>
      </w:pPr>
    </w:p>
    <w:p w14:paraId="2EA4DFD9" w14:textId="77777777" w:rsidR="002E6D99" w:rsidRDefault="002E6D99">
      <w:pPr>
        <w:ind w:left="100"/>
        <w:rPr>
          <w:rFonts w:ascii="Malgun Gothic" w:eastAsia="Malgun Gothic" w:hAnsi="Malgun Gothic" w:cs="Malgun Gothic"/>
          <w:color w:val="FFFFFF"/>
          <w:sz w:val="24"/>
          <w:szCs w:val="24"/>
        </w:rPr>
      </w:pPr>
    </w:p>
    <w:p w14:paraId="69E78400" w14:textId="792AC9E7" w:rsidR="00A3135E" w:rsidRDefault="004923D3">
      <w:pPr>
        <w:ind w:left="100"/>
        <w:rPr>
          <w:rFonts w:ascii="Malgun Gothic" w:eastAsia="Malgun Gothic" w:hAnsi="Malgun Gothic" w:cs="Malgun Gothic"/>
          <w:color w:val="FFFFFF"/>
          <w:sz w:val="24"/>
          <w:szCs w:val="24"/>
        </w:rPr>
      </w:pPr>
      <w:r>
        <w:rPr>
          <w:rFonts w:ascii="Malgun Gothic" w:eastAsia="Malgun Gothic" w:hAnsi="Malgun Gothic" w:cs="Malgun Gothic"/>
          <w:color w:val="FFFFFF"/>
          <w:sz w:val="24"/>
          <w:szCs w:val="24"/>
        </w:rPr>
        <w:t>Submis</w:t>
      </w:r>
      <w:r>
        <w:rPr>
          <w:rFonts w:ascii="Malgun Gothic" w:eastAsia="Malgun Gothic" w:hAnsi="Malgun Gothic" w:cs="Malgun Gothic"/>
          <w:color w:val="FFFFFF"/>
          <w:spacing w:val="-1"/>
          <w:sz w:val="24"/>
          <w:szCs w:val="24"/>
        </w:rPr>
        <w:t>s</w:t>
      </w:r>
      <w:r>
        <w:rPr>
          <w:rFonts w:ascii="Malgun Gothic" w:eastAsia="Malgun Gothic" w:hAnsi="Malgun Gothic" w:cs="Malgun Gothic"/>
          <w:color w:val="FFFFFF"/>
          <w:spacing w:val="1"/>
          <w:sz w:val="24"/>
          <w:szCs w:val="24"/>
        </w:rPr>
        <w:t>i</w:t>
      </w:r>
      <w:r>
        <w:rPr>
          <w:rFonts w:ascii="Malgun Gothic" w:eastAsia="Malgun Gothic" w:hAnsi="Malgun Gothic" w:cs="Malgun Gothic"/>
          <w:color w:val="FFFFFF"/>
          <w:sz w:val="24"/>
          <w:szCs w:val="24"/>
        </w:rPr>
        <w:t xml:space="preserve">on </w:t>
      </w:r>
      <w:r>
        <w:rPr>
          <w:rFonts w:ascii="Malgun Gothic" w:eastAsia="Malgun Gothic" w:hAnsi="Malgun Gothic" w:cs="Malgun Gothic"/>
          <w:color w:val="FFFFFF"/>
          <w:spacing w:val="1"/>
          <w:sz w:val="24"/>
          <w:szCs w:val="24"/>
        </w:rPr>
        <w:t>f</w:t>
      </w:r>
      <w:r>
        <w:rPr>
          <w:rFonts w:ascii="Malgun Gothic" w:eastAsia="Malgun Gothic" w:hAnsi="Malgun Gothic" w:cs="Malgun Gothic"/>
          <w:color w:val="FFFFFF"/>
          <w:spacing w:val="-3"/>
          <w:sz w:val="24"/>
          <w:szCs w:val="24"/>
        </w:rPr>
        <w:t>r</w:t>
      </w:r>
      <w:r>
        <w:rPr>
          <w:rFonts w:ascii="Malgun Gothic" w:eastAsia="Malgun Gothic" w:hAnsi="Malgun Gothic" w:cs="Malgun Gothic"/>
          <w:color w:val="FFFFFF"/>
          <w:sz w:val="24"/>
          <w:szCs w:val="24"/>
        </w:rPr>
        <w:t>om</w:t>
      </w:r>
    </w:p>
    <w:p w14:paraId="793B83E5" w14:textId="3B0B93B8" w:rsidR="00C94D41" w:rsidRPr="00A3135E" w:rsidRDefault="00A3135E">
      <w:pPr>
        <w:ind w:left="100"/>
        <w:rPr>
          <w:rFonts w:ascii="Malgun Gothic" w:eastAsia="Malgun Gothic" w:hAnsi="Malgun Gothic" w:cs="Malgun Gothic"/>
          <w:color w:val="FFFFFF"/>
          <w:sz w:val="24"/>
          <w:szCs w:val="24"/>
        </w:rPr>
      </w:pPr>
      <w:r w:rsidRPr="00A3135E">
        <w:rPr>
          <w:rFonts w:ascii="Malgun Gothic" w:eastAsia="Malgun Gothic" w:hAnsi="Malgun Gothic" w:cs="Malgun Gothic"/>
          <w:color w:val="FFFFFF"/>
          <w:sz w:val="24"/>
          <w:szCs w:val="24"/>
        </w:rPr>
        <w:t>Queensland Division</w:t>
      </w:r>
      <w:r w:rsidR="004923D3" w:rsidRPr="00A3135E">
        <w:rPr>
          <w:rFonts w:ascii="Malgun Gothic" w:eastAsia="Malgun Gothic" w:hAnsi="Malgun Gothic" w:cs="Malgun Gothic"/>
          <w:color w:val="FFFFFF"/>
          <w:sz w:val="24"/>
          <w:szCs w:val="24"/>
        </w:rPr>
        <w:t xml:space="preserve"> </w:t>
      </w:r>
    </w:p>
    <w:p w14:paraId="7B3FDF53" w14:textId="77777777" w:rsidR="006B649E" w:rsidRDefault="004923D3">
      <w:pPr>
        <w:ind w:left="100"/>
        <w:rPr>
          <w:rFonts w:ascii="Malgun Gothic" w:eastAsia="Malgun Gothic" w:hAnsi="Malgun Gothic" w:cs="Malgun Gothic"/>
          <w:color w:val="FFFFFF"/>
          <w:sz w:val="24"/>
          <w:szCs w:val="24"/>
        </w:rPr>
      </w:pPr>
      <w:r>
        <w:rPr>
          <w:rFonts w:ascii="Malgun Gothic" w:eastAsia="Malgun Gothic" w:hAnsi="Malgun Gothic" w:cs="Malgun Gothic"/>
          <w:color w:val="FFFFFF"/>
          <w:spacing w:val="-2"/>
          <w:sz w:val="24"/>
          <w:szCs w:val="24"/>
        </w:rPr>
        <w:t>A</w:t>
      </w:r>
      <w:r>
        <w:rPr>
          <w:rFonts w:ascii="Malgun Gothic" w:eastAsia="Malgun Gothic" w:hAnsi="Malgun Gothic" w:cs="Malgun Gothic"/>
          <w:color w:val="FFFFFF"/>
          <w:sz w:val="24"/>
          <w:szCs w:val="24"/>
        </w:rPr>
        <w:t>us</w:t>
      </w:r>
      <w:r>
        <w:rPr>
          <w:rFonts w:ascii="Malgun Gothic" w:eastAsia="Malgun Gothic" w:hAnsi="Malgun Gothic" w:cs="Malgun Gothic"/>
          <w:color w:val="FFFFFF"/>
          <w:spacing w:val="-1"/>
          <w:sz w:val="24"/>
          <w:szCs w:val="24"/>
        </w:rPr>
        <w:t>tr</w:t>
      </w:r>
      <w:r>
        <w:rPr>
          <w:rFonts w:ascii="Malgun Gothic" w:eastAsia="Malgun Gothic" w:hAnsi="Malgun Gothic" w:cs="Malgun Gothic"/>
          <w:color w:val="FFFFFF"/>
          <w:sz w:val="24"/>
          <w:szCs w:val="24"/>
        </w:rPr>
        <w:t>a</w:t>
      </w:r>
      <w:r>
        <w:rPr>
          <w:rFonts w:ascii="Malgun Gothic" w:eastAsia="Malgun Gothic" w:hAnsi="Malgun Gothic" w:cs="Malgun Gothic"/>
          <w:color w:val="FFFFFF"/>
          <w:spacing w:val="1"/>
          <w:sz w:val="24"/>
          <w:szCs w:val="24"/>
        </w:rPr>
        <w:t>li</w:t>
      </w:r>
      <w:r>
        <w:rPr>
          <w:rFonts w:ascii="Malgun Gothic" w:eastAsia="Malgun Gothic" w:hAnsi="Malgun Gothic" w:cs="Malgun Gothic"/>
          <w:color w:val="FFFFFF"/>
          <w:sz w:val="24"/>
          <w:szCs w:val="24"/>
        </w:rPr>
        <w:t>an</w:t>
      </w:r>
      <w:r>
        <w:rPr>
          <w:rFonts w:ascii="Malgun Gothic" w:eastAsia="Malgun Gothic" w:hAnsi="Malgun Gothic" w:cs="Malgun Gothic"/>
          <w:color w:val="FFFFFF"/>
          <w:spacing w:val="-7"/>
          <w:sz w:val="24"/>
          <w:szCs w:val="24"/>
        </w:rPr>
        <w:t xml:space="preserve"> </w:t>
      </w:r>
      <w:r>
        <w:rPr>
          <w:rFonts w:ascii="Malgun Gothic" w:eastAsia="Malgun Gothic" w:hAnsi="Malgun Gothic" w:cs="Malgun Gothic"/>
          <w:color w:val="FFFFFF"/>
          <w:spacing w:val="-8"/>
          <w:sz w:val="24"/>
          <w:szCs w:val="24"/>
        </w:rPr>
        <w:t>V</w:t>
      </w:r>
      <w:r>
        <w:rPr>
          <w:rFonts w:ascii="Malgun Gothic" w:eastAsia="Malgun Gothic" w:hAnsi="Malgun Gothic" w:cs="Malgun Gothic"/>
          <w:color w:val="FFFFFF"/>
          <w:spacing w:val="1"/>
          <w:sz w:val="24"/>
          <w:szCs w:val="24"/>
        </w:rPr>
        <w:t>e</w:t>
      </w:r>
      <w:r>
        <w:rPr>
          <w:rFonts w:ascii="Malgun Gothic" w:eastAsia="Malgun Gothic" w:hAnsi="Malgun Gothic" w:cs="Malgun Gothic"/>
          <w:color w:val="FFFFFF"/>
          <w:spacing w:val="-1"/>
          <w:sz w:val="24"/>
          <w:szCs w:val="24"/>
        </w:rPr>
        <w:t>t</w:t>
      </w:r>
      <w:r>
        <w:rPr>
          <w:rFonts w:ascii="Malgun Gothic" w:eastAsia="Malgun Gothic" w:hAnsi="Malgun Gothic" w:cs="Malgun Gothic"/>
          <w:color w:val="FFFFFF"/>
          <w:spacing w:val="1"/>
          <w:sz w:val="24"/>
          <w:szCs w:val="24"/>
        </w:rPr>
        <w:t>e</w:t>
      </w:r>
      <w:r>
        <w:rPr>
          <w:rFonts w:ascii="Malgun Gothic" w:eastAsia="Malgun Gothic" w:hAnsi="Malgun Gothic" w:cs="Malgun Gothic"/>
          <w:color w:val="FFFFFF"/>
          <w:spacing w:val="2"/>
          <w:sz w:val="24"/>
          <w:szCs w:val="24"/>
        </w:rPr>
        <w:t>r</w:t>
      </w:r>
      <w:r>
        <w:rPr>
          <w:rFonts w:ascii="Malgun Gothic" w:eastAsia="Malgun Gothic" w:hAnsi="Malgun Gothic" w:cs="Malgun Gothic"/>
          <w:color w:val="FFFFFF"/>
          <w:spacing w:val="1"/>
          <w:sz w:val="24"/>
          <w:szCs w:val="24"/>
        </w:rPr>
        <w:t>i</w:t>
      </w:r>
      <w:r>
        <w:rPr>
          <w:rFonts w:ascii="Malgun Gothic" w:eastAsia="Malgun Gothic" w:hAnsi="Malgun Gothic" w:cs="Malgun Gothic"/>
          <w:color w:val="FFFFFF"/>
          <w:sz w:val="24"/>
          <w:szCs w:val="24"/>
        </w:rPr>
        <w:t>n</w:t>
      </w:r>
      <w:r>
        <w:rPr>
          <w:rFonts w:ascii="Malgun Gothic" w:eastAsia="Malgun Gothic" w:hAnsi="Malgun Gothic" w:cs="Malgun Gothic"/>
          <w:color w:val="FFFFFF"/>
          <w:spacing w:val="1"/>
          <w:sz w:val="24"/>
          <w:szCs w:val="24"/>
        </w:rPr>
        <w:t>a</w:t>
      </w:r>
      <w:r>
        <w:rPr>
          <w:rFonts w:ascii="Malgun Gothic" w:eastAsia="Malgun Gothic" w:hAnsi="Malgun Gothic" w:cs="Malgun Gothic"/>
          <w:color w:val="FFFFFF"/>
          <w:spacing w:val="6"/>
          <w:sz w:val="24"/>
          <w:szCs w:val="24"/>
        </w:rPr>
        <w:t>r</w:t>
      </w:r>
      <w:r>
        <w:rPr>
          <w:rFonts w:ascii="Malgun Gothic" w:eastAsia="Malgun Gothic" w:hAnsi="Malgun Gothic" w:cs="Malgun Gothic"/>
          <w:color w:val="FFFFFF"/>
          <w:sz w:val="24"/>
          <w:szCs w:val="24"/>
        </w:rPr>
        <w:t>y</w:t>
      </w:r>
      <w:r>
        <w:rPr>
          <w:rFonts w:ascii="Malgun Gothic" w:eastAsia="Malgun Gothic" w:hAnsi="Malgun Gothic" w:cs="Malgun Gothic"/>
          <w:color w:val="FFFFFF"/>
          <w:spacing w:val="-1"/>
          <w:sz w:val="24"/>
          <w:szCs w:val="24"/>
        </w:rPr>
        <w:t xml:space="preserve"> </w:t>
      </w:r>
      <w:r>
        <w:rPr>
          <w:rFonts w:ascii="Malgun Gothic" w:eastAsia="Malgun Gothic" w:hAnsi="Malgun Gothic" w:cs="Malgun Gothic"/>
          <w:color w:val="FFFFFF"/>
          <w:spacing w:val="-2"/>
          <w:sz w:val="24"/>
          <w:szCs w:val="24"/>
        </w:rPr>
        <w:t>A</w:t>
      </w:r>
      <w:r>
        <w:rPr>
          <w:rFonts w:ascii="Malgun Gothic" w:eastAsia="Malgun Gothic" w:hAnsi="Malgun Gothic" w:cs="Malgun Gothic"/>
          <w:color w:val="FFFFFF"/>
          <w:spacing w:val="-1"/>
          <w:sz w:val="24"/>
          <w:szCs w:val="24"/>
        </w:rPr>
        <w:t>ss</w:t>
      </w:r>
      <w:r>
        <w:rPr>
          <w:rFonts w:ascii="Malgun Gothic" w:eastAsia="Malgun Gothic" w:hAnsi="Malgun Gothic" w:cs="Malgun Gothic"/>
          <w:color w:val="FFFFFF"/>
          <w:sz w:val="24"/>
          <w:szCs w:val="24"/>
        </w:rPr>
        <w:t>ocia</w:t>
      </w:r>
      <w:r>
        <w:rPr>
          <w:rFonts w:ascii="Malgun Gothic" w:eastAsia="Malgun Gothic" w:hAnsi="Malgun Gothic" w:cs="Malgun Gothic"/>
          <w:color w:val="FFFFFF"/>
          <w:spacing w:val="-1"/>
          <w:sz w:val="24"/>
          <w:szCs w:val="24"/>
        </w:rPr>
        <w:t>t</w:t>
      </w:r>
      <w:r>
        <w:rPr>
          <w:rFonts w:ascii="Malgun Gothic" w:eastAsia="Malgun Gothic" w:hAnsi="Malgun Gothic" w:cs="Malgun Gothic"/>
          <w:color w:val="FFFFFF"/>
          <w:spacing w:val="1"/>
          <w:sz w:val="24"/>
          <w:szCs w:val="24"/>
        </w:rPr>
        <w:t>i</w:t>
      </w:r>
      <w:r>
        <w:rPr>
          <w:rFonts w:ascii="Malgun Gothic" w:eastAsia="Malgun Gothic" w:hAnsi="Malgun Gothic" w:cs="Malgun Gothic"/>
          <w:color w:val="FFFFFF"/>
          <w:sz w:val="24"/>
          <w:szCs w:val="24"/>
        </w:rPr>
        <w:t>on L</w:t>
      </w:r>
      <w:r>
        <w:rPr>
          <w:rFonts w:ascii="Malgun Gothic" w:eastAsia="Malgun Gothic" w:hAnsi="Malgun Gothic" w:cs="Malgun Gothic"/>
          <w:color w:val="FFFFFF"/>
          <w:spacing w:val="-1"/>
          <w:sz w:val="24"/>
          <w:szCs w:val="24"/>
        </w:rPr>
        <w:t>t</w:t>
      </w:r>
      <w:r>
        <w:rPr>
          <w:rFonts w:ascii="Malgun Gothic" w:eastAsia="Malgun Gothic" w:hAnsi="Malgun Gothic" w:cs="Malgun Gothic"/>
          <w:color w:val="FFFFFF"/>
          <w:sz w:val="24"/>
          <w:szCs w:val="24"/>
        </w:rPr>
        <w:t>d</w:t>
      </w:r>
    </w:p>
    <w:p w14:paraId="797A1C3B" w14:textId="77777777" w:rsidR="00E65D76" w:rsidRDefault="00E65D76" w:rsidP="00E65D76">
      <w:pPr>
        <w:rPr>
          <w:rFonts w:ascii="Malgun Gothic" w:eastAsia="Malgun Gothic" w:hAnsi="Malgun Gothic" w:cs="Malgun Gothic"/>
          <w:color w:val="FFFFFF"/>
          <w:sz w:val="24"/>
          <w:szCs w:val="24"/>
        </w:rPr>
      </w:pPr>
    </w:p>
    <w:p w14:paraId="06AD4839" w14:textId="5811BC90" w:rsidR="0027302F" w:rsidRDefault="00E65D76" w:rsidP="00E65D76">
      <w:pPr>
        <w:rPr>
          <w:rFonts w:ascii="Malgun Gothic" w:eastAsia="Malgun Gothic" w:hAnsi="Malgun Gothic" w:cs="Malgun Gothic"/>
          <w:color w:val="FFFFFF"/>
          <w:sz w:val="24"/>
          <w:szCs w:val="24"/>
        </w:rPr>
      </w:pPr>
      <w:r>
        <w:rPr>
          <w:rFonts w:ascii="Malgun Gothic" w:eastAsia="Malgun Gothic" w:hAnsi="Malgun Gothic" w:cs="Malgun Gothic"/>
          <w:color w:val="FFFFFF"/>
          <w:sz w:val="24"/>
          <w:szCs w:val="24"/>
        </w:rPr>
        <w:t>To:</w:t>
      </w:r>
    </w:p>
    <w:p w14:paraId="3B7BBC06" w14:textId="14E9189C" w:rsidR="00F90297" w:rsidRDefault="00F90297" w:rsidP="00E65D76">
      <w:pPr>
        <w:rPr>
          <w:rFonts w:ascii="Malgun Gothic" w:eastAsia="Malgun Gothic" w:hAnsi="Malgun Gothic" w:cs="Malgun Gothic"/>
          <w:color w:val="FFFFFF"/>
          <w:sz w:val="24"/>
          <w:szCs w:val="24"/>
        </w:rPr>
      </w:pPr>
    </w:p>
    <w:p w14:paraId="4D61D7C3" w14:textId="2D527AEF" w:rsidR="00F90297" w:rsidRDefault="00F544AE" w:rsidP="00E65D76">
      <w:pPr>
        <w:rPr>
          <w:rFonts w:ascii="Malgun Gothic" w:eastAsia="Malgun Gothic" w:hAnsi="Malgun Gothic" w:cs="Malgun Gothic"/>
          <w:color w:val="FFFFFF"/>
          <w:sz w:val="24"/>
          <w:szCs w:val="24"/>
        </w:rPr>
      </w:pPr>
      <w:r>
        <w:t>sdnraidc@parliament.qld.gov.au</w:t>
      </w:r>
    </w:p>
    <w:p w14:paraId="49EC55F3" w14:textId="4B0B1FF9" w:rsidR="00E65D76" w:rsidRPr="00501440" w:rsidRDefault="00E65D76" w:rsidP="00E65D76">
      <w:r w:rsidRPr="00501440">
        <w:br/>
      </w:r>
      <w:r w:rsidRPr="00501440">
        <w:br/>
      </w:r>
    </w:p>
    <w:p w14:paraId="0AAA2844" w14:textId="77777777" w:rsidR="00E65D76" w:rsidRPr="00501440" w:rsidRDefault="00E65D76" w:rsidP="00E65D76"/>
    <w:p w14:paraId="19273B25" w14:textId="77777777" w:rsidR="0027302F" w:rsidRDefault="0027302F" w:rsidP="0027302F">
      <w:pPr>
        <w:rPr>
          <w:rFonts w:ascii="Malgun Gothic" w:eastAsia="Malgun Gothic" w:hAnsi="Malgun Gothic" w:cs="Malgun Gothic"/>
          <w:sz w:val="24"/>
          <w:szCs w:val="24"/>
        </w:rPr>
      </w:pPr>
    </w:p>
    <w:p w14:paraId="40B878B1" w14:textId="79BA33AC" w:rsidR="00A3135E" w:rsidRDefault="00A3135E" w:rsidP="0027302F">
      <w:pPr>
        <w:rPr>
          <w:rFonts w:ascii="Malgun Gothic" w:eastAsia="Malgun Gothic" w:hAnsi="Malgun Gothic" w:cs="Malgun Gothic"/>
          <w:sz w:val="24"/>
          <w:szCs w:val="24"/>
        </w:rPr>
        <w:sectPr w:rsidR="00A3135E">
          <w:pgSz w:w="11900" w:h="16820"/>
          <w:pgMar w:top="1580" w:right="1680" w:bottom="280" w:left="1340" w:header="720" w:footer="720" w:gutter="0"/>
          <w:cols w:space="720"/>
        </w:sectPr>
      </w:pPr>
    </w:p>
    <w:p w14:paraId="7FFAEACD" w14:textId="77777777" w:rsidR="006B649E" w:rsidRDefault="00A05A0A">
      <w:pPr>
        <w:spacing w:before="97"/>
        <w:ind w:left="8945"/>
      </w:pPr>
      <w:r>
        <w:lastRenderedPageBreak/>
        <w:pict w14:anchorId="050530AE">
          <v:shape id="_x0000_i1025" type="#_x0000_t75" style="width:41.4pt;height:45.6pt">
            <v:imagedata r:id="rId6" o:title=""/>
          </v:shape>
        </w:pict>
      </w:r>
    </w:p>
    <w:p w14:paraId="70B9A068" w14:textId="0DF0A665" w:rsidR="006B649E" w:rsidRDefault="00F544AE">
      <w:pPr>
        <w:spacing w:before="34"/>
        <w:ind w:left="100"/>
        <w:rPr>
          <w:rFonts w:ascii="Arial" w:eastAsia="Arial" w:hAnsi="Arial" w:cs="Arial"/>
        </w:rPr>
      </w:pPr>
      <w:r>
        <w:rPr>
          <w:rFonts w:ascii="Arial" w:eastAsia="Arial" w:hAnsi="Arial" w:cs="Arial"/>
          <w:b/>
        </w:rPr>
        <w:t>5 June</w:t>
      </w:r>
      <w:r w:rsidR="00091EA5">
        <w:rPr>
          <w:rFonts w:ascii="Arial" w:eastAsia="Arial" w:hAnsi="Arial" w:cs="Arial"/>
          <w:b/>
        </w:rPr>
        <w:t xml:space="preserve"> 201</w:t>
      </w:r>
      <w:r>
        <w:rPr>
          <w:rFonts w:ascii="Arial" w:eastAsia="Arial" w:hAnsi="Arial" w:cs="Arial"/>
          <w:b/>
        </w:rPr>
        <w:t>9</w:t>
      </w:r>
    </w:p>
    <w:p w14:paraId="1C4B98FD" w14:textId="77777777" w:rsidR="006B649E" w:rsidRDefault="006B649E">
      <w:pPr>
        <w:spacing w:before="10" w:line="280" w:lineRule="exact"/>
        <w:rPr>
          <w:sz w:val="28"/>
          <w:szCs w:val="28"/>
        </w:rPr>
      </w:pPr>
    </w:p>
    <w:p w14:paraId="5CBE640C" w14:textId="264ADBF5" w:rsidR="004E1F2B" w:rsidRPr="004E1F2B" w:rsidRDefault="004E1F2B" w:rsidP="004E1F2B">
      <w:pPr>
        <w:rPr>
          <w:rFonts w:ascii="Arial" w:hAnsi="Arial" w:cs="Arial"/>
        </w:rPr>
      </w:pPr>
      <w:r w:rsidRPr="004E1F2B">
        <w:rPr>
          <w:rFonts w:ascii="Arial" w:hAnsi="Arial" w:cs="Arial"/>
        </w:rPr>
        <w:t xml:space="preserve">The Australian Veterinary Association </w:t>
      </w:r>
      <w:r w:rsidR="006D17DE">
        <w:rPr>
          <w:rFonts w:ascii="Arial" w:hAnsi="Arial" w:cs="Arial"/>
        </w:rPr>
        <w:t xml:space="preserve">(AVA) </w:t>
      </w:r>
      <w:bookmarkStart w:id="0" w:name="_GoBack"/>
      <w:bookmarkEnd w:id="0"/>
      <w:r w:rsidRPr="004E1F2B">
        <w:rPr>
          <w:rFonts w:ascii="Arial" w:hAnsi="Arial" w:cs="Arial"/>
        </w:rPr>
        <w:t xml:space="preserve">thanks </w:t>
      </w:r>
      <w:r w:rsidR="00F544AE">
        <w:rPr>
          <w:rFonts w:ascii="Arial" w:hAnsi="Arial" w:cs="Arial"/>
        </w:rPr>
        <w:t>the Queensland government</w:t>
      </w:r>
      <w:r w:rsidRPr="004E1F2B">
        <w:rPr>
          <w:rFonts w:ascii="Arial" w:hAnsi="Arial" w:cs="Arial"/>
        </w:rPr>
        <w:t xml:space="preserve"> for the opportunity to make comments on this important matter. </w:t>
      </w:r>
    </w:p>
    <w:p w14:paraId="0F11072A" w14:textId="77777777" w:rsidR="004E1F2B" w:rsidRPr="00501440" w:rsidRDefault="004E1F2B" w:rsidP="004E1F2B"/>
    <w:p w14:paraId="1B38E845" w14:textId="24E8834A" w:rsidR="006B649E" w:rsidRPr="003A3B61" w:rsidRDefault="004923D3" w:rsidP="004E1F2B">
      <w:pPr>
        <w:spacing w:line="400" w:lineRule="exact"/>
        <w:rPr>
          <w:rFonts w:ascii="Arial" w:eastAsia="Arial" w:hAnsi="Arial" w:cs="Arial"/>
          <w:b/>
          <w:sz w:val="36"/>
          <w:szCs w:val="36"/>
        </w:rPr>
      </w:pPr>
      <w:r w:rsidRPr="003A3B61">
        <w:rPr>
          <w:rFonts w:ascii="Arial" w:eastAsia="Arial" w:hAnsi="Arial" w:cs="Arial"/>
          <w:b/>
          <w:color w:val="B8A879"/>
          <w:position w:val="-1"/>
          <w:sz w:val="36"/>
          <w:szCs w:val="36"/>
        </w:rPr>
        <w:t>A</w:t>
      </w:r>
      <w:r w:rsidRPr="003A3B61">
        <w:rPr>
          <w:rFonts w:ascii="Arial" w:eastAsia="Arial" w:hAnsi="Arial" w:cs="Arial"/>
          <w:b/>
          <w:color w:val="B8A879"/>
          <w:spacing w:val="-1"/>
          <w:position w:val="-1"/>
          <w:sz w:val="36"/>
          <w:szCs w:val="36"/>
        </w:rPr>
        <w:t>b</w:t>
      </w:r>
      <w:r w:rsidRPr="003A3B61">
        <w:rPr>
          <w:rFonts w:ascii="Arial" w:eastAsia="Arial" w:hAnsi="Arial" w:cs="Arial"/>
          <w:b/>
          <w:color w:val="B8A879"/>
          <w:position w:val="-1"/>
          <w:sz w:val="36"/>
          <w:szCs w:val="36"/>
        </w:rPr>
        <w:t>o</w:t>
      </w:r>
      <w:r w:rsidRPr="003A3B61">
        <w:rPr>
          <w:rFonts w:ascii="Arial" w:eastAsia="Arial" w:hAnsi="Arial" w:cs="Arial"/>
          <w:b/>
          <w:color w:val="B8A879"/>
          <w:spacing w:val="-2"/>
          <w:position w:val="-1"/>
          <w:sz w:val="36"/>
          <w:szCs w:val="36"/>
        </w:rPr>
        <w:t>u</w:t>
      </w:r>
      <w:r w:rsidRPr="003A3B61">
        <w:rPr>
          <w:rFonts w:ascii="Arial" w:eastAsia="Arial" w:hAnsi="Arial" w:cs="Arial"/>
          <w:b/>
          <w:color w:val="B8A879"/>
          <w:position w:val="-1"/>
          <w:sz w:val="36"/>
          <w:szCs w:val="36"/>
        </w:rPr>
        <w:t>t</w:t>
      </w:r>
      <w:r w:rsidRPr="003A3B61">
        <w:rPr>
          <w:rFonts w:ascii="Arial" w:eastAsia="Arial" w:hAnsi="Arial" w:cs="Arial"/>
          <w:b/>
          <w:color w:val="B8A879"/>
          <w:spacing w:val="-3"/>
          <w:position w:val="-1"/>
          <w:sz w:val="36"/>
          <w:szCs w:val="36"/>
        </w:rPr>
        <w:t xml:space="preserve"> </w:t>
      </w:r>
      <w:r w:rsidRPr="003A3B61">
        <w:rPr>
          <w:rFonts w:ascii="Arial" w:eastAsia="Arial" w:hAnsi="Arial" w:cs="Arial"/>
          <w:b/>
          <w:color w:val="B8A879"/>
          <w:position w:val="-1"/>
          <w:sz w:val="36"/>
          <w:szCs w:val="36"/>
        </w:rPr>
        <w:t>us</w:t>
      </w:r>
    </w:p>
    <w:p w14:paraId="7133680B" w14:textId="77777777" w:rsidR="006B649E" w:rsidRDefault="006B649E">
      <w:pPr>
        <w:spacing w:before="7" w:line="200" w:lineRule="exact"/>
      </w:pPr>
    </w:p>
    <w:p w14:paraId="5C2B6B0D" w14:textId="1D3AF271" w:rsidR="006B649E" w:rsidRPr="002E6D99" w:rsidRDefault="004923D3">
      <w:pPr>
        <w:spacing w:before="34"/>
        <w:ind w:left="100" w:right="82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s</w:t>
      </w:r>
      <w:r>
        <w:rPr>
          <w:rFonts w:ascii="Arial" w:eastAsia="Arial" w:hAnsi="Arial" w:cs="Arial"/>
        </w:rPr>
        <w:t>tra</w:t>
      </w:r>
      <w:r>
        <w:rPr>
          <w:rFonts w:ascii="Arial" w:eastAsia="Arial" w:hAnsi="Arial" w:cs="Arial"/>
          <w:spacing w:val="1"/>
        </w:rPr>
        <w:t>l</w:t>
      </w:r>
      <w:r>
        <w:rPr>
          <w:rFonts w:ascii="Arial" w:eastAsia="Arial" w:hAnsi="Arial" w:cs="Arial"/>
          <w:spacing w:val="-1"/>
        </w:rPr>
        <w:t>i</w:t>
      </w:r>
      <w:r>
        <w:rPr>
          <w:rFonts w:ascii="Arial" w:eastAsia="Arial" w:hAnsi="Arial" w:cs="Arial"/>
        </w:rPr>
        <w:t>an</w:t>
      </w:r>
      <w:r>
        <w:rPr>
          <w:rFonts w:ascii="Arial" w:eastAsia="Arial" w:hAnsi="Arial" w:cs="Arial"/>
          <w:spacing w:val="-7"/>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ter</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sidR="00600A63">
        <w:rPr>
          <w:rFonts w:ascii="Arial" w:eastAsia="Arial" w:hAnsi="Arial" w:cs="Arial"/>
          <w:spacing w:val="-10"/>
        </w:rPr>
        <w:t xml:space="preserve">(AVA)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r</w:t>
      </w:r>
      <w:r>
        <w:rPr>
          <w:rFonts w:ascii="Arial" w:eastAsia="Arial" w:hAnsi="Arial" w:cs="Arial"/>
          <w:spacing w:val="2"/>
        </w:rPr>
        <w:t>e</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2"/>
        </w:rPr>
        <w:t>t</w:t>
      </w:r>
      <w:r>
        <w:rPr>
          <w:rFonts w:ascii="Arial" w:eastAsia="Arial" w:hAnsi="Arial" w:cs="Arial"/>
        </w:rPr>
        <w:t>eri</w:t>
      </w:r>
      <w:r>
        <w:rPr>
          <w:rFonts w:ascii="Arial" w:eastAsia="Arial" w:hAnsi="Arial" w:cs="Arial"/>
          <w:spacing w:val="-1"/>
        </w:rPr>
        <w:t>n</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rPr>
        <w:t>u</w:t>
      </w:r>
      <w:r>
        <w:rPr>
          <w:rFonts w:ascii="Arial" w:eastAsia="Arial" w:hAnsi="Arial" w:cs="Arial"/>
          <w:spacing w:val="1"/>
        </w:rPr>
        <w:t>s</w:t>
      </w:r>
      <w:r>
        <w:rPr>
          <w:rFonts w:ascii="Arial" w:eastAsia="Arial" w:hAnsi="Arial" w:cs="Arial"/>
        </w:rPr>
        <w:t>tra</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ur</w:t>
      </w:r>
      <w:r>
        <w:rPr>
          <w:rFonts w:ascii="Arial" w:eastAsia="Arial" w:hAnsi="Arial" w:cs="Arial"/>
          <w:spacing w:val="-3"/>
        </w:rPr>
        <w:t xml:space="preserve"> </w:t>
      </w:r>
      <w:r>
        <w:rPr>
          <w:rFonts w:ascii="Arial" w:eastAsia="Arial" w:hAnsi="Arial" w:cs="Arial"/>
        </w:rPr>
        <w:t>9</w:t>
      </w:r>
      <w:r w:rsidR="002E6D99">
        <w:rPr>
          <w:rFonts w:ascii="Arial" w:eastAsia="Arial" w:hAnsi="Arial" w:cs="Arial"/>
          <w:spacing w:val="2"/>
        </w:rPr>
        <w:t>5</w:t>
      </w:r>
      <w:r>
        <w:rPr>
          <w:rFonts w:ascii="Arial" w:eastAsia="Arial" w:hAnsi="Arial" w:cs="Arial"/>
        </w:rPr>
        <w:t>00</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et</w:t>
      </w:r>
      <w:r>
        <w:rPr>
          <w:rFonts w:ascii="Arial" w:eastAsia="Arial" w:hAnsi="Arial" w:cs="Arial"/>
          <w:spacing w:val="-1"/>
        </w:rPr>
        <w:t>e</w:t>
      </w:r>
      <w:r>
        <w:rPr>
          <w:rFonts w:ascii="Arial" w:eastAsia="Arial" w:hAnsi="Arial" w:cs="Arial"/>
          <w:spacing w:val="1"/>
        </w:rPr>
        <w:t>ri</w:t>
      </w:r>
      <w:r>
        <w:rPr>
          <w:rFonts w:ascii="Arial" w:eastAsia="Arial" w:hAnsi="Arial" w:cs="Arial"/>
        </w:rPr>
        <w:t>n</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9"/>
        </w:rPr>
        <w:t xml:space="preserve"> </w:t>
      </w:r>
      <w:r>
        <w:rPr>
          <w:rFonts w:ascii="Arial" w:eastAsia="Arial" w:hAnsi="Arial" w:cs="Arial"/>
        </w:rPr>
        <w:t xml:space="preserve">work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h</w:t>
      </w:r>
      <w:r>
        <w:rPr>
          <w:rFonts w:ascii="Arial" w:eastAsia="Arial" w:hAnsi="Arial" w:cs="Arial"/>
        </w:rPr>
        <w:t>or</w:t>
      </w:r>
      <w:r>
        <w:rPr>
          <w:rFonts w:ascii="Arial" w:eastAsia="Arial" w:hAnsi="Arial" w:cs="Arial"/>
          <w:spacing w:val="2"/>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sidR="002E6D99">
        <w:rPr>
          <w:rFonts w:ascii="Arial" w:eastAsia="Arial" w:hAnsi="Arial" w:cs="Arial"/>
          <w:spacing w:val="2"/>
        </w:rPr>
        <w:t>livestock</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w</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e</w:t>
      </w:r>
      <w:r w:rsidR="002E6D99">
        <w:rPr>
          <w:rFonts w:ascii="Arial" w:eastAsia="Arial" w:hAnsi="Arial" w:cs="Arial"/>
        </w:rPr>
        <w:t>, conservation and zoo animals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sidR="002E6D99">
        <w:rPr>
          <w:rFonts w:ascii="Arial" w:eastAsia="Arial" w:hAnsi="Arial" w:cs="Arial"/>
          <w:spacing w:val="-11"/>
        </w:rPr>
        <w:t xml:space="preserve">and </w:t>
      </w:r>
      <w:r w:rsidR="00F204ED">
        <w:rPr>
          <w:rFonts w:ascii="Arial" w:eastAsia="Arial" w:hAnsi="Arial" w:cs="Arial"/>
          <w:spacing w:val="-11"/>
        </w:rPr>
        <w:t>institution employed</w:t>
      </w:r>
      <w:r w:rsidR="002E6D99">
        <w:rPr>
          <w:rFonts w:ascii="Arial" w:eastAsia="Arial" w:hAnsi="Arial" w:cs="Arial"/>
          <w:spacing w:val="-11"/>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2"/>
        </w:rPr>
        <w:t>t</w:t>
      </w:r>
      <w:r>
        <w:rPr>
          <w:rFonts w:ascii="Arial" w:eastAsia="Arial" w:hAnsi="Arial" w:cs="Arial"/>
        </w:rPr>
        <w:t>er</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ns</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 xml:space="preserve">ork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spacing w:val="2"/>
        </w:rPr>
        <w:t>m</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rPr>
        <w:t>th,</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sidR="002E6D99">
        <w:rPr>
          <w:rFonts w:ascii="Arial" w:eastAsia="Arial" w:hAnsi="Arial" w:cs="Arial"/>
        </w:rPr>
        <w:t>biosecurity. We also have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sidR="002E6D99">
        <w:rPr>
          <w:rFonts w:ascii="Arial" w:eastAsia="Arial" w:hAnsi="Arial" w:cs="Arial"/>
          <w:spacing w:val="-7"/>
        </w:rPr>
        <w:t xml:space="preserve">who </w:t>
      </w:r>
      <w:r>
        <w:rPr>
          <w:rFonts w:ascii="Arial" w:eastAsia="Arial" w:hAnsi="Arial" w:cs="Arial"/>
          <w:spacing w:val="-2"/>
        </w:rPr>
        <w:t>w</w:t>
      </w:r>
      <w:r>
        <w:rPr>
          <w:rFonts w:ascii="Arial" w:eastAsia="Arial" w:hAnsi="Arial" w:cs="Arial"/>
        </w:rPr>
        <w:t xml:space="preserve">ork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V</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u</w:t>
      </w:r>
      <w:r>
        <w:rPr>
          <w:rFonts w:ascii="Arial" w:eastAsia="Arial" w:hAnsi="Arial" w:cs="Arial"/>
          <w:spacing w:val="-1"/>
        </w:rPr>
        <w:t>d</w:t>
      </w:r>
      <w:r>
        <w:rPr>
          <w:rFonts w:ascii="Arial" w:eastAsia="Arial" w:hAnsi="Arial" w:cs="Arial"/>
          <w:spacing w:val="2"/>
        </w:rPr>
        <w:t>e</w:t>
      </w:r>
      <w:r>
        <w:rPr>
          <w:rFonts w:ascii="Arial" w:eastAsia="Arial" w:hAnsi="Arial" w:cs="Arial"/>
        </w:rPr>
        <w:t>nts 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sidR="002E6D99">
        <w:rPr>
          <w:rFonts w:ascii="Arial" w:eastAsia="Arial" w:hAnsi="Arial" w:cs="Arial"/>
        </w:rPr>
        <w:t xml:space="preserve"> </w:t>
      </w:r>
      <w:r w:rsidR="002E6D99" w:rsidRPr="002E6D99">
        <w:rPr>
          <w:rFonts w:ascii="Arial" w:hAnsi="Arial" w:cs="Arial"/>
        </w:rPr>
        <w:t>The AVA has a range of special interest groups (SIGs), allowing members with shared interests or expertise to develop their practice and skills in a specific area. These include Conservation and Biology and Animal Welfare and Ethics, Public Health, Equine and Cattle and Sheep.</w:t>
      </w:r>
    </w:p>
    <w:p w14:paraId="08B6B1B6" w14:textId="77777777" w:rsidR="006B649E" w:rsidRDefault="006B649E">
      <w:pPr>
        <w:spacing w:before="8" w:line="220" w:lineRule="exact"/>
        <w:rPr>
          <w:sz w:val="22"/>
          <w:szCs w:val="22"/>
        </w:rPr>
      </w:pPr>
    </w:p>
    <w:p w14:paraId="29E9B7CD" w14:textId="750A36F5" w:rsidR="003A3B61" w:rsidRPr="003A3B61" w:rsidRDefault="00F90297" w:rsidP="004E1F2B">
      <w:pPr>
        <w:keepNext/>
        <w:keepLines/>
        <w:spacing w:before="200"/>
        <w:outlineLvl w:val="2"/>
        <w:rPr>
          <w:rFonts w:ascii="Arial" w:eastAsia="Arial" w:hAnsi="Arial" w:cs="Arial"/>
          <w:b/>
          <w:color w:val="B8A879"/>
          <w:sz w:val="36"/>
          <w:szCs w:val="36"/>
        </w:rPr>
      </w:pPr>
      <w:r>
        <w:rPr>
          <w:rFonts w:ascii="Arial" w:eastAsia="Arial" w:hAnsi="Arial" w:cs="Arial"/>
          <w:b/>
          <w:color w:val="B8A879"/>
          <w:sz w:val="36"/>
          <w:szCs w:val="36"/>
        </w:rPr>
        <w:t xml:space="preserve">Response to the </w:t>
      </w:r>
      <w:r w:rsidR="00F544AE">
        <w:rPr>
          <w:rFonts w:ascii="Arial" w:eastAsia="Arial" w:hAnsi="Arial" w:cs="Arial"/>
          <w:b/>
          <w:color w:val="B8A879"/>
          <w:sz w:val="36"/>
          <w:szCs w:val="36"/>
        </w:rPr>
        <w:t>draft</w:t>
      </w:r>
      <w:r>
        <w:rPr>
          <w:rFonts w:ascii="Arial" w:eastAsia="Arial" w:hAnsi="Arial" w:cs="Arial"/>
          <w:b/>
          <w:color w:val="B8A879"/>
          <w:sz w:val="36"/>
          <w:szCs w:val="36"/>
        </w:rPr>
        <w:t xml:space="preserve"> regulation</w:t>
      </w:r>
    </w:p>
    <w:p w14:paraId="71FC300F" w14:textId="77777777" w:rsidR="003A3B61" w:rsidRPr="003A3B61" w:rsidRDefault="003A3B61" w:rsidP="004E1F2B">
      <w:pPr>
        <w:keepNext/>
        <w:keepLines/>
        <w:spacing w:before="200"/>
        <w:outlineLvl w:val="2"/>
        <w:rPr>
          <w:rFonts w:ascii="Arial" w:eastAsiaTheme="majorEastAsia" w:hAnsi="Arial" w:cs="Arial"/>
          <w:b/>
          <w:bCs/>
          <w:color w:val="4F81BD" w:themeColor="accent1"/>
          <w:sz w:val="24"/>
          <w:szCs w:val="24"/>
        </w:rPr>
      </w:pPr>
    </w:p>
    <w:p w14:paraId="14DF8AED" w14:textId="2DC35852" w:rsidR="009A330A" w:rsidRDefault="00F90297" w:rsidP="004E1F2B">
      <w:pPr>
        <w:rPr>
          <w:rFonts w:ascii="Arial" w:hAnsi="Arial" w:cs="Arial"/>
        </w:rPr>
      </w:pPr>
      <w:r>
        <w:rPr>
          <w:rFonts w:ascii="Arial" w:hAnsi="Arial" w:cs="Arial"/>
        </w:rPr>
        <w:t>The Australian Veterinary Association</w:t>
      </w:r>
      <w:r w:rsidR="009A330A">
        <w:rPr>
          <w:rFonts w:ascii="Arial" w:hAnsi="Arial" w:cs="Arial"/>
        </w:rPr>
        <w:t xml:space="preserve"> (AVA)</w:t>
      </w:r>
      <w:r>
        <w:rPr>
          <w:rFonts w:ascii="Arial" w:hAnsi="Arial" w:cs="Arial"/>
        </w:rPr>
        <w:t xml:space="preserve"> supports the </w:t>
      </w:r>
      <w:r w:rsidR="002D7216">
        <w:rPr>
          <w:rFonts w:ascii="Arial" w:hAnsi="Arial" w:cs="Arial"/>
        </w:rPr>
        <w:t>propos</w:t>
      </w:r>
      <w:r w:rsidR="00F544AE">
        <w:rPr>
          <w:rFonts w:ascii="Arial" w:hAnsi="Arial" w:cs="Arial"/>
        </w:rPr>
        <w:t>al to streamline regulations and the policy objective</w:t>
      </w:r>
      <w:r>
        <w:rPr>
          <w:rFonts w:ascii="Arial" w:hAnsi="Arial" w:cs="Arial"/>
        </w:rPr>
        <w:t xml:space="preserve"> </w:t>
      </w:r>
      <w:r w:rsidR="00F544AE">
        <w:rPr>
          <w:rFonts w:ascii="Arial" w:hAnsi="Arial" w:cs="Arial"/>
        </w:rPr>
        <w:t>to ensure drugs and poisons are used safely and effectively and do not cause harm to human health. It also supports recognition of the veterinary profession to be best placed to manage the risks associated with prescribing antibiotics</w:t>
      </w:r>
      <w:r w:rsidR="00467B0A">
        <w:rPr>
          <w:rFonts w:ascii="Arial" w:hAnsi="Arial" w:cs="Arial"/>
        </w:rPr>
        <w:t xml:space="preserve"> to animals</w:t>
      </w:r>
      <w:r w:rsidR="00EE7C93">
        <w:rPr>
          <w:rFonts w:ascii="Arial" w:hAnsi="Arial" w:cs="Arial"/>
        </w:rPr>
        <w:t>.</w:t>
      </w:r>
      <w:r w:rsidR="00F544AE">
        <w:rPr>
          <w:rFonts w:ascii="Arial" w:hAnsi="Arial" w:cs="Arial"/>
        </w:rPr>
        <w:t xml:space="preserve"> </w:t>
      </w:r>
    </w:p>
    <w:p w14:paraId="62F818BD" w14:textId="77777777" w:rsidR="00EE7C93" w:rsidRDefault="00EE7C93" w:rsidP="004E1F2B">
      <w:pPr>
        <w:rPr>
          <w:rFonts w:ascii="Arial" w:hAnsi="Arial" w:cs="Arial"/>
        </w:rPr>
      </w:pPr>
    </w:p>
    <w:p w14:paraId="0D2EAD63" w14:textId="471D796A" w:rsidR="002D7216" w:rsidRDefault="009A330A" w:rsidP="004E1F2B">
      <w:pPr>
        <w:rPr>
          <w:rFonts w:ascii="Arial" w:hAnsi="Arial" w:cs="Arial"/>
        </w:rPr>
      </w:pPr>
      <w:r>
        <w:rPr>
          <w:rFonts w:ascii="Arial" w:hAnsi="Arial" w:cs="Arial"/>
        </w:rPr>
        <w:t>The AVA</w:t>
      </w:r>
      <w:r w:rsidR="002D7216">
        <w:rPr>
          <w:rFonts w:ascii="Arial" w:hAnsi="Arial" w:cs="Arial"/>
        </w:rPr>
        <w:t xml:space="preserve"> would like more </w:t>
      </w:r>
      <w:r w:rsidR="00EE7C93">
        <w:rPr>
          <w:rFonts w:ascii="Arial" w:hAnsi="Arial" w:cs="Arial"/>
        </w:rPr>
        <w:t>clarity</w:t>
      </w:r>
      <w:r w:rsidR="002D7216">
        <w:rPr>
          <w:rFonts w:ascii="Arial" w:hAnsi="Arial" w:cs="Arial"/>
        </w:rPr>
        <w:t xml:space="preserve"> of the following aspects of the regulation</w:t>
      </w:r>
      <w:r w:rsidR="00EE7C93">
        <w:rPr>
          <w:rFonts w:ascii="Arial" w:hAnsi="Arial" w:cs="Arial"/>
        </w:rPr>
        <w:t xml:space="preserve"> which have been difficult to follow</w:t>
      </w:r>
      <w:r>
        <w:rPr>
          <w:rFonts w:ascii="Arial" w:hAnsi="Arial" w:cs="Arial"/>
        </w:rPr>
        <w:t>:</w:t>
      </w:r>
    </w:p>
    <w:p w14:paraId="6CCD9AFB" w14:textId="77777777" w:rsidR="002D7216" w:rsidRDefault="002D7216" w:rsidP="004E1F2B">
      <w:pPr>
        <w:rPr>
          <w:rFonts w:ascii="Arial" w:hAnsi="Arial" w:cs="Arial"/>
        </w:rPr>
      </w:pPr>
    </w:p>
    <w:p w14:paraId="15953AD0" w14:textId="7DE32A10" w:rsidR="002D7216" w:rsidRDefault="00EE7C93" w:rsidP="004E1F2B">
      <w:pPr>
        <w:rPr>
          <w:rFonts w:ascii="Arial" w:hAnsi="Arial" w:cs="Arial"/>
          <w:b/>
        </w:rPr>
      </w:pPr>
      <w:r>
        <w:rPr>
          <w:rFonts w:ascii="Arial" w:hAnsi="Arial" w:cs="Arial"/>
          <w:b/>
        </w:rPr>
        <w:t>Ambiguity about what a veterinarian can do</w:t>
      </w:r>
    </w:p>
    <w:p w14:paraId="610C3EB1" w14:textId="77777777" w:rsidR="002D7216" w:rsidRDefault="002D7216" w:rsidP="004E1F2B">
      <w:pPr>
        <w:rPr>
          <w:rFonts w:ascii="Arial" w:hAnsi="Arial" w:cs="Arial"/>
        </w:rPr>
      </w:pPr>
    </w:p>
    <w:p w14:paraId="08ADCA3C" w14:textId="7C359065" w:rsidR="00EE7C93" w:rsidRDefault="00EE7C93" w:rsidP="004E1F2B">
      <w:pPr>
        <w:rPr>
          <w:rFonts w:ascii="Arial" w:hAnsi="Arial" w:cs="Arial"/>
        </w:rPr>
      </w:pPr>
      <w:r>
        <w:rPr>
          <w:rFonts w:ascii="Arial" w:hAnsi="Arial" w:cs="Arial"/>
        </w:rPr>
        <w:t>This regulation allows a</w:t>
      </w:r>
      <w:r w:rsidR="002D7216">
        <w:rPr>
          <w:rFonts w:ascii="Arial" w:hAnsi="Arial" w:cs="Arial"/>
        </w:rPr>
        <w:t xml:space="preserve"> veterinarian </w:t>
      </w:r>
      <w:r>
        <w:rPr>
          <w:rFonts w:ascii="Arial" w:hAnsi="Arial" w:cs="Arial"/>
        </w:rPr>
        <w:t>to</w:t>
      </w:r>
      <w:r w:rsidR="002D7216">
        <w:rPr>
          <w:rFonts w:ascii="Arial" w:hAnsi="Arial" w:cs="Arial"/>
        </w:rPr>
        <w:t xml:space="preserve"> </w:t>
      </w:r>
      <w:r>
        <w:rPr>
          <w:rFonts w:ascii="Arial" w:hAnsi="Arial" w:cs="Arial"/>
        </w:rPr>
        <w:t>buy and possess,</w:t>
      </w:r>
      <w:r w:rsidR="002D7216">
        <w:rPr>
          <w:rFonts w:ascii="Arial" w:hAnsi="Arial" w:cs="Arial"/>
        </w:rPr>
        <w:t xml:space="preserve"> prescribe</w:t>
      </w:r>
      <w:r>
        <w:rPr>
          <w:rFonts w:ascii="Arial" w:hAnsi="Arial" w:cs="Arial"/>
        </w:rPr>
        <w:t xml:space="preserve">, dispense, give a treatment dose and administer. </w:t>
      </w:r>
    </w:p>
    <w:p w14:paraId="68BFD372" w14:textId="221FA05F" w:rsidR="00EE7C93" w:rsidRDefault="00EE7C93" w:rsidP="004E1F2B">
      <w:pPr>
        <w:rPr>
          <w:rFonts w:ascii="Arial" w:hAnsi="Arial" w:cs="Arial"/>
        </w:rPr>
      </w:pPr>
    </w:p>
    <w:p w14:paraId="1E443A22" w14:textId="77777777" w:rsidR="00EE7C93" w:rsidRDefault="00EE7C93" w:rsidP="004E1F2B">
      <w:pPr>
        <w:rPr>
          <w:rFonts w:ascii="Arial" w:hAnsi="Arial" w:cs="Arial"/>
          <w:i/>
          <w:iCs/>
        </w:rPr>
      </w:pPr>
      <w:r>
        <w:rPr>
          <w:rFonts w:ascii="Arial" w:hAnsi="Arial" w:cs="Arial"/>
        </w:rPr>
        <w:t xml:space="preserve">These permissions are dependent upon being in </w:t>
      </w:r>
      <w:r>
        <w:rPr>
          <w:rFonts w:ascii="Arial" w:hAnsi="Arial" w:cs="Arial"/>
          <w:i/>
          <w:iCs/>
        </w:rPr>
        <w:t>“</w:t>
      </w:r>
      <w:r w:rsidRPr="00442C87">
        <w:rPr>
          <w:rFonts w:ascii="Arial" w:hAnsi="Arial" w:cs="Arial"/>
          <w:b/>
          <w:bCs/>
          <w:i/>
          <w:iCs/>
        </w:rPr>
        <w:t>accordance with recognized veterinary practice</w:t>
      </w:r>
      <w:r>
        <w:rPr>
          <w:rFonts w:ascii="Arial" w:hAnsi="Arial" w:cs="Arial"/>
          <w:i/>
          <w:iCs/>
        </w:rPr>
        <w:t>”</w:t>
      </w:r>
    </w:p>
    <w:p w14:paraId="7DC138D4" w14:textId="77777777" w:rsidR="00EE7C93" w:rsidRDefault="00EE7C93" w:rsidP="004E1F2B">
      <w:pPr>
        <w:rPr>
          <w:rFonts w:ascii="Arial" w:hAnsi="Arial" w:cs="Arial"/>
          <w:i/>
          <w:iCs/>
        </w:rPr>
      </w:pPr>
    </w:p>
    <w:p w14:paraId="3874BB4A" w14:textId="367AB91D" w:rsidR="00EE7C93" w:rsidRPr="00482C69" w:rsidRDefault="00EE7C93" w:rsidP="00783206">
      <w:pPr>
        <w:pStyle w:val="ListParagraph"/>
        <w:numPr>
          <w:ilvl w:val="0"/>
          <w:numId w:val="14"/>
        </w:numPr>
        <w:rPr>
          <w:rFonts w:ascii="Arial" w:hAnsi="Arial" w:cs="Arial"/>
        </w:rPr>
      </w:pPr>
      <w:r w:rsidRPr="00482C69">
        <w:rPr>
          <w:rFonts w:ascii="Arial" w:hAnsi="Arial" w:cs="Arial"/>
        </w:rPr>
        <w:t xml:space="preserve">However, </w:t>
      </w:r>
      <w:r w:rsidRPr="00482C69">
        <w:rPr>
          <w:rFonts w:ascii="Arial" w:hAnsi="Arial" w:cs="Arial"/>
          <w:u w:val="single"/>
        </w:rPr>
        <w:t xml:space="preserve">there is no definition of </w:t>
      </w:r>
      <w:r w:rsidRPr="00482C69">
        <w:rPr>
          <w:rFonts w:ascii="Arial" w:hAnsi="Arial" w:cs="Arial"/>
          <w:i/>
          <w:iCs/>
          <w:u w:val="single"/>
        </w:rPr>
        <w:t>recognized veterinary practice</w:t>
      </w:r>
      <w:r w:rsidRPr="00482C69">
        <w:rPr>
          <w:rFonts w:ascii="Arial" w:hAnsi="Arial" w:cs="Arial"/>
        </w:rPr>
        <w:t xml:space="preserve"> other than to refer to the veterinary Surgeon’s Board of Queensland. It is not defined in the veterinary Surgeon’s Act 1936 and as such would be based on the policy of the day of the veterinary Surgeon’s Board.</w:t>
      </w:r>
    </w:p>
    <w:p w14:paraId="32581BD4" w14:textId="5B338EA1" w:rsidR="00EE7C93" w:rsidRPr="00EE7C93" w:rsidRDefault="00EE7C93" w:rsidP="00EE7C93">
      <w:pPr>
        <w:pStyle w:val="ListParagraph"/>
        <w:numPr>
          <w:ilvl w:val="0"/>
          <w:numId w:val="13"/>
        </w:numPr>
        <w:rPr>
          <w:rFonts w:ascii="Arial" w:hAnsi="Arial" w:cs="Arial"/>
          <w:i/>
          <w:iCs/>
        </w:rPr>
      </w:pPr>
      <w:r>
        <w:rPr>
          <w:rFonts w:ascii="Arial" w:hAnsi="Arial" w:cs="Arial"/>
        </w:rPr>
        <w:t xml:space="preserve">Policies can change and there will therefore be </w:t>
      </w:r>
      <w:r w:rsidRPr="00531F51">
        <w:rPr>
          <w:rFonts w:ascii="Arial" w:hAnsi="Arial" w:cs="Arial"/>
          <w:u w:val="single"/>
        </w:rPr>
        <w:t>uncertainty</w:t>
      </w:r>
      <w:r>
        <w:rPr>
          <w:rFonts w:ascii="Arial" w:hAnsi="Arial" w:cs="Arial"/>
        </w:rPr>
        <w:t xml:space="preserve"> as to what this covers</w:t>
      </w:r>
      <w:r w:rsidR="005F565C">
        <w:rPr>
          <w:rFonts w:ascii="Arial" w:hAnsi="Arial" w:cs="Arial"/>
        </w:rPr>
        <w:t xml:space="preserve"> </w:t>
      </w:r>
      <w:proofErr w:type="gramStart"/>
      <w:r w:rsidR="005F565C">
        <w:rPr>
          <w:rFonts w:ascii="Arial" w:hAnsi="Arial" w:cs="Arial"/>
        </w:rPr>
        <w:t>and also</w:t>
      </w:r>
      <w:proofErr w:type="gramEnd"/>
      <w:r w:rsidR="005F565C">
        <w:rPr>
          <w:rFonts w:ascii="Arial" w:hAnsi="Arial" w:cs="Arial"/>
        </w:rPr>
        <w:t xml:space="preserve"> depending on the definition, some aspects such as dispensing may be redundant regulations</w:t>
      </w:r>
      <w:r>
        <w:rPr>
          <w:rFonts w:ascii="Arial" w:hAnsi="Arial" w:cs="Arial"/>
        </w:rPr>
        <w:t>.</w:t>
      </w:r>
      <w:r w:rsidR="005F565C">
        <w:rPr>
          <w:rFonts w:ascii="Arial" w:hAnsi="Arial" w:cs="Arial"/>
        </w:rPr>
        <w:t xml:space="preserve"> For example:</w:t>
      </w:r>
    </w:p>
    <w:p w14:paraId="4B6DE87E" w14:textId="00E699F5" w:rsidR="00EE7C93" w:rsidRPr="00482C69" w:rsidRDefault="00531F51" w:rsidP="005F565C">
      <w:pPr>
        <w:pStyle w:val="ListParagraph"/>
        <w:numPr>
          <w:ilvl w:val="1"/>
          <w:numId w:val="13"/>
        </w:numPr>
        <w:rPr>
          <w:rFonts w:ascii="Arial" w:hAnsi="Arial" w:cs="Arial"/>
          <w:i/>
          <w:iCs/>
        </w:rPr>
      </w:pPr>
      <w:r>
        <w:rPr>
          <w:rFonts w:ascii="Arial" w:hAnsi="Arial" w:cs="Arial"/>
        </w:rPr>
        <w:t>The definition of dispense in the Medicines Bill is given as selling on prescription</w:t>
      </w:r>
    </w:p>
    <w:p w14:paraId="29ACEE06" w14:textId="6693D132" w:rsidR="00482C69" w:rsidRPr="00482C69" w:rsidRDefault="00482C69" w:rsidP="005F565C">
      <w:pPr>
        <w:pStyle w:val="ListParagraph"/>
        <w:numPr>
          <w:ilvl w:val="1"/>
          <w:numId w:val="13"/>
        </w:numPr>
        <w:rPr>
          <w:rFonts w:ascii="Arial" w:hAnsi="Arial" w:cs="Arial"/>
          <w:i/>
          <w:iCs/>
        </w:rPr>
      </w:pPr>
      <w:r>
        <w:rPr>
          <w:rFonts w:ascii="Arial" w:hAnsi="Arial" w:cs="Arial"/>
        </w:rPr>
        <w:t>This definition clashes with previous definitions of when a vet can dispense which currently requires a bona fide relationship with the owner of the animal that the vet is treating. There is a circular problem here in that if a vet was able to dispense, they could only do so if they had the bona fide relationship with the client and then the rather bizarre situation they would find themselves in would be that they could only dispense if they wrote a prescription to themselves.</w:t>
      </w:r>
    </w:p>
    <w:p w14:paraId="678C2F45" w14:textId="7F4E18CA" w:rsidR="00482C69" w:rsidRPr="00482C69" w:rsidRDefault="00482C69" w:rsidP="00482C69">
      <w:pPr>
        <w:pStyle w:val="ListParagraph"/>
        <w:numPr>
          <w:ilvl w:val="0"/>
          <w:numId w:val="13"/>
        </w:numPr>
        <w:rPr>
          <w:rFonts w:ascii="Arial" w:hAnsi="Arial" w:cs="Arial"/>
          <w:b/>
          <w:i/>
          <w:color w:val="FF0000"/>
        </w:rPr>
      </w:pPr>
      <w:r w:rsidRPr="00482C69">
        <w:rPr>
          <w:rFonts w:ascii="Arial" w:hAnsi="Arial" w:cs="Arial"/>
          <w:color w:val="0D0D0D" w:themeColor="text1" w:themeTint="F2"/>
          <w:u w:val="single"/>
        </w:rPr>
        <w:t>It is not clear</w:t>
      </w:r>
      <w:r w:rsidRPr="00482C69">
        <w:rPr>
          <w:rFonts w:ascii="Arial" w:hAnsi="Arial" w:cs="Arial"/>
          <w:color w:val="0D0D0D" w:themeColor="text1" w:themeTint="F2"/>
        </w:rPr>
        <w:t xml:space="preserve"> if a veterinarian can supply a person on prescription from another veterinarian. If they cannot do this</w:t>
      </w:r>
      <w:r w:rsidRPr="00482C69">
        <w:rPr>
          <w:rFonts w:ascii="Arial" w:hAnsi="Arial" w:cs="Arial"/>
        </w:rPr>
        <w:t>, then:</w:t>
      </w:r>
    </w:p>
    <w:p w14:paraId="351EAFE0" w14:textId="77777777" w:rsidR="00442C87" w:rsidRPr="00442C87" w:rsidRDefault="002D7216" w:rsidP="00482C69">
      <w:pPr>
        <w:pStyle w:val="ListParagraph"/>
        <w:numPr>
          <w:ilvl w:val="1"/>
          <w:numId w:val="13"/>
        </w:numPr>
        <w:rPr>
          <w:rFonts w:ascii="Arial" w:hAnsi="Arial" w:cs="Arial"/>
          <w:b/>
          <w:i/>
          <w:color w:val="FF0000"/>
        </w:rPr>
      </w:pPr>
      <w:r w:rsidRPr="00482C69">
        <w:rPr>
          <w:rFonts w:ascii="Arial" w:hAnsi="Arial" w:cs="Arial"/>
        </w:rPr>
        <w:t xml:space="preserve"> </w:t>
      </w:r>
      <w:r w:rsidR="003D32F2" w:rsidRPr="00482C69">
        <w:rPr>
          <w:rFonts w:ascii="Arial" w:hAnsi="Arial" w:cs="Arial"/>
        </w:rPr>
        <w:t xml:space="preserve">This becomes a problem if a practice does not have a </w:t>
      </w:r>
      <w:proofErr w:type="gramStart"/>
      <w:r w:rsidR="003D32F2" w:rsidRPr="00482C69">
        <w:rPr>
          <w:rFonts w:ascii="Arial" w:hAnsi="Arial" w:cs="Arial"/>
        </w:rPr>
        <w:t>particular drug</w:t>
      </w:r>
      <w:proofErr w:type="gramEnd"/>
      <w:r w:rsidR="003D32F2" w:rsidRPr="00482C69">
        <w:rPr>
          <w:rFonts w:ascii="Arial" w:hAnsi="Arial" w:cs="Arial"/>
        </w:rPr>
        <w:t xml:space="preserve"> but a neighbouring veterinary clinic does have this drug. In this situation, the veterinarian in the neighbouring clinic is required to see and examine the animal in order to supply the animal with the required medicine. This is unnecessary stress on the animal and sometimes impractical in rural and regional areas</w:t>
      </w:r>
      <w:r w:rsidR="00955BDD" w:rsidRPr="00482C69">
        <w:rPr>
          <w:rFonts w:ascii="Arial" w:hAnsi="Arial" w:cs="Arial"/>
        </w:rPr>
        <w:t xml:space="preserve">. </w:t>
      </w:r>
    </w:p>
    <w:p w14:paraId="7FAA93A7" w14:textId="4B1EFFF4" w:rsidR="004E1F2B" w:rsidRPr="00482C69" w:rsidRDefault="00955BDD" w:rsidP="00482C69">
      <w:pPr>
        <w:pStyle w:val="ListParagraph"/>
        <w:numPr>
          <w:ilvl w:val="1"/>
          <w:numId w:val="13"/>
        </w:numPr>
        <w:rPr>
          <w:rFonts w:ascii="Arial" w:hAnsi="Arial" w:cs="Arial"/>
          <w:b/>
          <w:i/>
          <w:color w:val="FF0000"/>
        </w:rPr>
      </w:pPr>
      <w:r w:rsidRPr="00482C69">
        <w:rPr>
          <w:rFonts w:ascii="Arial" w:hAnsi="Arial" w:cs="Arial"/>
        </w:rPr>
        <w:t xml:space="preserve"> </w:t>
      </w:r>
      <w:r w:rsidR="00FD3D8D" w:rsidRPr="00482C69">
        <w:rPr>
          <w:rFonts w:ascii="Arial" w:hAnsi="Arial" w:cs="Arial"/>
        </w:rPr>
        <w:t xml:space="preserve">NSW has </w:t>
      </w:r>
      <w:r w:rsidR="00EB75AE" w:rsidRPr="00482C69">
        <w:rPr>
          <w:rFonts w:ascii="Arial" w:hAnsi="Arial" w:cs="Arial"/>
        </w:rPr>
        <w:t xml:space="preserve">an ability for vets to allow other vets to supply drugs by using a form to “supply under written authority” </w:t>
      </w:r>
      <w:r w:rsidR="00442C87">
        <w:rPr>
          <w:rFonts w:ascii="Arial" w:hAnsi="Arial" w:cs="Arial"/>
        </w:rPr>
        <w:t>.</w:t>
      </w:r>
      <w:r w:rsidR="00EB75AE" w:rsidRPr="00482C69">
        <w:rPr>
          <w:rFonts w:ascii="Arial" w:hAnsi="Arial" w:cs="Arial"/>
        </w:rPr>
        <w:t>A recent example that the AVA is aware of is a vet who was asked to treat a snake passing through their town which had been under the care of another veterinarian with expertise in snakes. They required more medication and they rang the first vet who prescribed the appropriate medication for the second vet to dispense to the owner of the snake.</w:t>
      </w:r>
      <w:r w:rsidR="0048351F" w:rsidRPr="00482C69">
        <w:rPr>
          <w:rFonts w:ascii="Arial" w:hAnsi="Arial" w:cs="Arial"/>
        </w:rPr>
        <w:t xml:space="preserve"> In Queensland, this would not be legal unless the second vet saw the snake.</w:t>
      </w:r>
    </w:p>
    <w:p w14:paraId="39E66C2F" w14:textId="5407F147" w:rsidR="00955BDD" w:rsidRDefault="00442C87" w:rsidP="004E1F2B">
      <w:pPr>
        <w:rPr>
          <w:rFonts w:ascii="Arial" w:hAnsi="Arial" w:cs="Arial"/>
          <w:b/>
          <w:color w:val="0D0D0D" w:themeColor="text1" w:themeTint="F2"/>
        </w:rPr>
      </w:pPr>
      <w:r>
        <w:rPr>
          <w:rFonts w:ascii="Arial" w:hAnsi="Arial" w:cs="Arial"/>
          <w:b/>
          <w:color w:val="0D0D0D" w:themeColor="text1" w:themeTint="F2"/>
        </w:rPr>
        <w:lastRenderedPageBreak/>
        <w:t>Prescription</w:t>
      </w:r>
      <w:r w:rsidR="00467B0A">
        <w:rPr>
          <w:rFonts w:ascii="Arial" w:hAnsi="Arial" w:cs="Arial"/>
          <w:b/>
          <w:color w:val="0D0D0D" w:themeColor="text1" w:themeTint="F2"/>
        </w:rPr>
        <w:t>s</w:t>
      </w:r>
      <w:r>
        <w:rPr>
          <w:rFonts w:ascii="Arial" w:hAnsi="Arial" w:cs="Arial"/>
          <w:b/>
          <w:color w:val="0D0D0D" w:themeColor="text1" w:themeTint="F2"/>
        </w:rPr>
        <w:t xml:space="preserve"> </w:t>
      </w:r>
    </w:p>
    <w:p w14:paraId="54833708" w14:textId="48E30BF1" w:rsidR="00955BDD" w:rsidRDefault="00955BDD" w:rsidP="004E1F2B">
      <w:pPr>
        <w:rPr>
          <w:rFonts w:ascii="Arial" w:hAnsi="Arial" w:cs="Arial"/>
          <w:b/>
          <w:color w:val="0D0D0D" w:themeColor="text1" w:themeTint="F2"/>
        </w:rPr>
      </w:pPr>
    </w:p>
    <w:p w14:paraId="11431C4E" w14:textId="502B9EC5" w:rsidR="00CC04FF" w:rsidRPr="00CC04FF" w:rsidRDefault="00CC04FF" w:rsidP="00CC04FF">
      <w:pPr>
        <w:pStyle w:val="BodyTextIndent"/>
        <w:tabs>
          <w:tab w:val="num" w:pos="540"/>
          <w:tab w:val="left" w:pos="1418"/>
          <w:tab w:val="left" w:pos="2410"/>
        </w:tabs>
        <w:ind w:left="0"/>
        <w:rPr>
          <w:rFonts w:ascii="Arial" w:hAnsi="Arial" w:cs="Arial"/>
          <w:sz w:val="20"/>
          <w:szCs w:val="20"/>
        </w:rPr>
      </w:pPr>
      <w:r>
        <w:rPr>
          <w:rFonts w:ascii="Arial" w:hAnsi="Arial" w:cs="Arial"/>
          <w:sz w:val="20"/>
          <w:szCs w:val="20"/>
        </w:rPr>
        <w:t>Remote areas require special consideration</w:t>
      </w:r>
      <w:r w:rsidR="00FD3D8D">
        <w:rPr>
          <w:rFonts w:ascii="Arial" w:hAnsi="Arial" w:cs="Arial"/>
          <w:sz w:val="20"/>
          <w:szCs w:val="20"/>
        </w:rPr>
        <w:t>.</w:t>
      </w:r>
      <w:r>
        <w:rPr>
          <w:rFonts w:ascii="Arial" w:hAnsi="Arial" w:cs="Arial"/>
          <w:sz w:val="20"/>
          <w:szCs w:val="20"/>
        </w:rPr>
        <w:t xml:space="preserve"> It </w:t>
      </w:r>
      <w:r w:rsidRPr="00CC04FF">
        <w:rPr>
          <w:rFonts w:ascii="Arial" w:hAnsi="Arial" w:cs="Arial"/>
          <w:sz w:val="20"/>
          <w:szCs w:val="20"/>
        </w:rPr>
        <w:t xml:space="preserve"> is recognised that in a few particular situations, such as the extensive pastoral industry and some aquaculture establishments, it might be appropriate for a veterinarian to prescribe, authorise and/or dispense a limited supply of a drug as a contingency measure.  There might be a high probability of an annual recurrence of a specific disease condition on a remote property, for example.  In such situations, the veterinarian should be especially aware of the need to satisfy the PAD checklist criteria </w:t>
      </w:r>
      <w:r w:rsidR="00FD3D8D">
        <w:rPr>
          <w:rFonts w:ascii="Arial" w:hAnsi="Arial" w:cs="Arial"/>
          <w:sz w:val="20"/>
          <w:szCs w:val="20"/>
        </w:rPr>
        <w:t xml:space="preserve">(see Appendix) </w:t>
      </w:r>
      <w:r w:rsidRPr="00CC04FF">
        <w:rPr>
          <w:rFonts w:ascii="Arial" w:hAnsi="Arial" w:cs="Arial"/>
          <w:sz w:val="20"/>
          <w:szCs w:val="20"/>
        </w:rPr>
        <w:t>as far as feasible, maintaining appropriate communication with the client.  The use of digital images transmitted on the internet might be helpful in establishing a diagnosis.</w:t>
      </w:r>
    </w:p>
    <w:p w14:paraId="56A18D0A" w14:textId="7EB53363" w:rsidR="00CC04FF" w:rsidRPr="00CC04FF" w:rsidRDefault="00CC04FF" w:rsidP="00CC04FF">
      <w:pPr>
        <w:pStyle w:val="BodyTextIndent"/>
        <w:tabs>
          <w:tab w:val="num" w:pos="540"/>
          <w:tab w:val="left" w:pos="1418"/>
          <w:tab w:val="left" w:pos="2410"/>
        </w:tabs>
        <w:ind w:left="0"/>
        <w:rPr>
          <w:rFonts w:ascii="Arial" w:hAnsi="Arial" w:cs="Arial"/>
          <w:sz w:val="20"/>
          <w:szCs w:val="20"/>
        </w:rPr>
      </w:pPr>
      <w:r w:rsidRPr="00CC04FF">
        <w:rPr>
          <w:rFonts w:ascii="Arial" w:hAnsi="Arial" w:cs="Arial"/>
          <w:sz w:val="20"/>
          <w:szCs w:val="20"/>
        </w:rPr>
        <w:t xml:space="preserve">A special situation exists with aquaculture, where clinical expertise may not be available locally.  If a veterinarian is consulting to an aquaculture establishment interstate, </w:t>
      </w:r>
      <w:r w:rsidR="00FD3D8D">
        <w:rPr>
          <w:rFonts w:ascii="Arial" w:hAnsi="Arial" w:cs="Arial"/>
          <w:sz w:val="20"/>
          <w:szCs w:val="20"/>
        </w:rPr>
        <w:t xml:space="preserve">it would be useful for </w:t>
      </w:r>
      <w:r w:rsidRPr="00CC04FF">
        <w:rPr>
          <w:rFonts w:ascii="Arial" w:hAnsi="Arial" w:cs="Arial"/>
          <w:sz w:val="20"/>
          <w:szCs w:val="20"/>
        </w:rPr>
        <w:t xml:space="preserve">veterinary medicines </w:t>
      </w:r>
      <w:r w:rsidR="00FD3D8D">
        <w:rPr>
          <w:rFonts w:ascii="Arial" w:hAnsi="Arial" w:cs="Arial"/>
          <w:sz w:val="20"/>
          <w:szCs w:val="20"/>
        </w:rPr>
        <w:t>to</w:t>
      </w:r>
      <w:r w:rsidRPr="00CC04FF">
        <w:rPr>
          <w:rFonts w:ascii="Arial" w:hAnsi="Arial" w:cs="Arial"/>
          <w:sz w:val="20"/>
          <w:szCs w:val="20"/>
        </w:rPr>
        <w:t xml:space="preserve"> be supplied through a local veterinary practice</w:t>
      </w:r>
      <w:r w:rsidR="00FD3D8D">
        <w:rPr>
          <w:rFonts w:ascii="Arial" w:hAnsi="Arial" w:cs="Arial"/>
          <w:sz w:val="20"/>
          <w:szCs w:val="20"/>
        </w:rPr>
        <w:t>. Currently the legal situation is that this cannot be done.</w:t>
      </w:r>
    </w:p>
    <w:p w14:paraId="161412A3" w14:textId="77777777" w:rsidR="00467B0A" w:rsidRDefault="00467B0A" w:rsidP="004E1F2B">
      <w:pPr>
        <w:rPr>
          <w:rFonts w:ascii="Arial" w:hAnsi="Arial" w:cs="Arial"/>
          <w:b/>
          <w:color w:val="0D0D0D" w:themeColor="text1" w:themeTint="F2"/>
        </w:rPr>
      </w:pPr>
    </w:p>
    <w:p w14:paraId="3CA148E5" w14:textId="6E24E12D" w:rsidR="00141C9D" w:rsidRPr="004B5B50" w:rsidRDefault="00467B0A" w:rsidP="00141C9D">
      <w:pPr>
        <w:rPr>
          <w:rFonts w:ascii="Arial" w:eastAsiaTheme="minorHAnsi" w:hAnsi="Arial" w:cs="Arial"/>
          <w:b/>
          <w:bCs/>
        </w:rPr>
      </w:pPr>
      <w:r w:rsidRPr="004B5B50">
        <w:rPr>
          <w:rFonts w:ascii="Arial" w:eastAsiaTheme="minorHAnsi" w:hAnsi="Arial" w:cs="Arial"/>
          <w:b/>
          <w:bCs/>
        </w:rPr>
        <w:t>Recommendations:</w:t>
      </w:r>
    </w:p>
    <w:p w14:paraId="17DF7868" w14:textId="731AE766" w:rsidR="00467B0A" w:rsidRPr="004B5B50" w:rsidRDefault="00467B0A" w:rsidP="00141C9D">
      <w:pPr>
        <w:rPr>
          <w:rFonts w:ascii="Arial" w:eastAsiaTheme="minorHAnsi" w:hAnsi="Arial" w:cs="Arial"/>
          <w:b/>
          <w:bCs/>
        </w:rPr>
      </w:pPr>
    </w:p>
    <w:p w14:paraId="6A2C280B" w14:textId="701D6919" w:rsidR="00467B0A" w:rsidRPr="004B5B50" w:rsidRDefault="00467B0A" w:rsidP="00467B0A">
      <w:pPr>
        <w:pStyle w:val="ListParagraph"/>
        <w:numPr>
          <w:ilvl w:val="0"/>
          <w:numId w:val="15"/>
        </w:numPr>
        <w:rPr>
          <w:rFonts w:ascii="Arial" w:eastAsiaTheme="minorHAnsi" w:hAnsi="Arial" w:cs="Arial"/>
          <w:b/>
          <w:bCs/>
        </w:rPr>
      </w:pPr>
      <w:r w:rsidRPr="004B5B50">
        <w:rPr>
          <w:rFonts w:ascii="Arial" w:eastAsiaTheme="minorHAnsi" w:hAnsi="Arial" w:cs="Arial"/>
          <w:b/>
          <w:bCs/>
        </w:rPr>
        <w:t xml:space="preserve">That the Medicines and Poisons regulation define recognized veterinary practice. </w:t>
      </w:r>
      <w:r w:rsidRPr="004B5B50">
        <w:rPr>
          <w:rFonts w:ascii="Arial" w:eastAsiaTheme="minorHAnsi" w:hAnsi="Arial" w:cs="Arial"/>
        </w:rPr>
        <w:t xml:space="preserve">Currently the definition is dependent upon Veterinary Surgeon’s Board policy (it is not defined in the Veterinary Surgeons Act 1936). The standard definition of having a bona fide relationship with the client has limitations for dispensing and limitations for common situations whereby a veterinarian is out of stock of a </w:t>
      </w:r>
      <w:r w:rsidR="004B5B50" w:rsidRPr="004B5B50">
        <w:rPr>
          <w:rFonts w:ascii="Arial" w:eastAsiaTheme="minorHAnsi" w:hAnsi="Arial" w:cs="Arial"/>
        </w:rPr>
        <w:t>lifesaving</w:t>
      </w:r>
      <w:r w:rsidRPr="004B5B50">
        <w:rPr>
          <w:rFonts w:ascii="Arial" w:eastAsiaTheme="minorHAnsi" w:hAnsi="Arial" w:cs="Arial"/>
        </w:rPr>
        <w:t xml:space="preserve"> drug and wants another vet to supply it directly to the client. The AVA recommends that Queensland adopt a similar scheme to NSW in that a veterinarian can supply under written authority from another veterinarian.</w:t>
      </w:r>
    </w:p>
    <w:p w14:paraId="0C8CE482" w14:textId="77777777" w:rsidR="004B5B50" w:rsidRPr="004B5B50" w:rsidRDefault="004B5B50" w:rsidP="004B5B50">
      <w:pPr>
        <w:rPr>
          <w:rFonts w:ascii="Arial" w:eastAsiaTheme="minorHAnsi" w:hAnsi="Arial" w:cs="Arial"/>
          <w:b/>
          <w:bCs/>
        </w:rPr>
      </w:pPr>
    </w:p>
    <w:p w14:paraId="075652ED" w14:textId="557ACBD6" w:rsidR="004B5B50" w:rsidRPr="004B5B50" w:rsidRDefault="005F565C" w:rsidP="005F565C">
      <w:pPr>
        <w:pStyle w:val="ListParagraph"/>
        <w:numPr>
          <w:ilvl w:val="0"/>
          <w:numId w:val="15"/>
        </w:numPr>
        <w:rPr>
          <w:rFonts w:ascii="Arial" w:hAnsi="Arial" w:cs="Arial"/>
          <w:b/>
          <w:color w:val="0D0D0D" w:themeColor="text1" w:themeTint="F2"/>
        </w:rPr>
      </w:pPr>
      <w:r w:rsidRPr="004B5B50">
        <w:rPr>
          <w:rFonts w:ascii="Arial" w:hAnsi="Arial" w:cs="Arial"/>
          <w:b/>
          <w:color w:val="0D0D0D" w:themeColor="text1" w:themeTint="F2"/>
        </w:rPr>
        <w:t xml:space="preserve">That definitions in general be clearer and easier to follow. </w:t>
      </w:r>
      <w:r w:rsidRPr="004B5B50">
        <w:rPr>
          <w:rFonts w:ascii="Arial" w:hAnsi="Arial" w:cs="Arial"/>
          <w:bCs/>
          <w:color w:val="0D0D0D" w:themeColor="text1" w:themeTint="F2"/>
        </w:rPr>
        <w:t xml:space="preserve"> Diversion risk medicine is a new term and from the Bill, it is a medicine defined under the regulation along with other terms such as high risk, monitored and restricted categories. S8 drugs appear in </w:t>
      </w:r>
      <w:proofErr w:type="gramStart"/>
      <w:r w:rsidRPr="004B5B50">
        <w:rPr>
          <w:rFonts w:ascii="Arial" w:hAnsi="Arial" w:cs="Arial"/>
          <w:bCs/>
          <w:color w:val="0D0D0D" w:themeColor="text1" w:themeTint="F2"/>
        </w:rPr>
        <w:t>all of</w:t>
      </w:r>
      <w:proofErr w:type="gramEnd"/>
      <w:r w:rsidRPr="004B5B50">
        <w:rPr>
          <w:rFonts w:ascii="Arial" w:hAnsi="Arial" w:cs="Arial"/>
          <w:bCs/>
          <w:color w:val="0D0D0D" w:themeColor="text1" w:themeTint="F2"/>
        </w:rPr>
        <w:t xml:space="preserve"> these categories.</w:t>
      </w:r>
      <w:r w:rsidR="004B5B50" w:rsidRPr="004B5B50">
        <w:rPr>
          <w:rFonts w:ascii="Arial" w:hAnsi="Arial" w:cs="Arial"/>
          <w:bCs/>
          <w:color w:val="0D0D0D" w:themeColor="text1" w:themeTint="F2"/>
        </w:rPr>
        <w:t xml:space="preserve"> It can be followed but it is not easy to find out one’s obligations without referring to multiple parts of the Act and the regulation.</w:t>
      </w:r>
    </w:p>
    <w:p w14:paraId="6156B403" w14:textId="77777777" w:rsidR="004B5B50" w:rsidRPr="004B5B50" w:rsidRDefault="004B5B50" w:rsidP="004B5B50">
      <w:pPr>
        <w:pStyle w:val="ListParagraph"/>
        <w:rPr>
          <w:rFonts w:ascii="Arial" w:hAnsi="Arial" w:cs="Arial"/>
          <w:b/>
          <w:color w:val="0D0D0D" w:themeColor="text1" w:themeTint="F2"/>
        </w:rPr>
      </w:pPr>
    </w:p>
    <w:p w14:paraId="62EAB60B" w14:textId="77777777" w:rsidR="004B5B50" w:rsidRPr="004B5B50" w:rsidRDefault="004B5B50" w:rsidP="004B5B50">
      <w:pPr>
        <w:rPr>
          <w:rFonts w:ascii="Arial" w:hAnsi="Arial" w:cs="Arial"/>
          <w:b/>
          <w:color w:val="0D0D0D" w:themeColor="text1" w:themeTint="F2"/>
        </w:rPr>
      </w:pPr>
    </w:p>
    <w:p w14:paraId="62A97A32" w14:textId="2E3BDCA3" w:rsidR="00141C9D" w:rsidRPr="004B5B50" w:rsidRDefault="004B5B50" w:rsidP="005F565C">
      <w:pPr>
        <w:pStyle w:val="ListParagraph"/>
        <w:numPr>
          <w:ilvl w:val="0"/>
          <w:numId w:val="15"/>
        </w:numPr>
        <w:rPr>
          <w:rFonts w:ascii="Arial" w:hAnsi="Arial" w:cs="Arial"/>
          <w:b/>
          <w:color w:val="0D0D0D" w:themeColor="text1" w:themeTint="F2"/>
        </w:rPr>
      </w:pPr>
      <w:r w:rsidRPr="004B5B50">
        <w:rPr>
          <w:rFonts w:ascii="Arial" w:hAnsi="Arial" w:cs="Arial"/>
          <w:b/>
          <w:color w:val="0D0D0D" w:themeColor="text1" w:themeTint="F2"/>
        </w:rPr>
        <w:t>That veterinarians be allowed to supply a drug to a colleague’s client upon written authority to supply.</w:t>
      </w:r>
      <w:r w:rsidR="005F565C" w:rsidRPr="004B5B50">
        <w:rPr>
          <w:rFonts w:ascii="Arial" w:hAnsi="Arial" w:cs="Arial"/>
          <w:bCs/>
          <w:color w:val="0D0D0D" w:themeColor="text1" w:themeTint="F2"/>
        </w:rPr>
        <w:t xml:space="preserve"> </w:t>
      </w:r>
    </w:p>
    <w:p w14:paraId="133E40C1" w14:textId="5646F9AA" w:rsidR="00F90297" w:rsidRDefault="00F90297" w:rsidP="004E1F2B">
      <w:pPr>
        <w:rPr>
          <w:rFonts w:ascii="Arial" w:hAnsi="Arial" w:cs="Arial"/>
        </w:rPr>
      </w:pPr>
    </w:p>
    <w:p w14:paraId="7BE4C885" w14:textId="77777777" w:rsidR="00F90297" w:rsidRPr="003A3B61" w:rsidRDefault="00F90297" w:rsidP="004E1F2B">
      <w:pPr>
        <w:rPr>
          <w:rFonts w:ascii="Arial" w:hAnsi="Arial" w:cs="Arial"/>
        </w:rPr>
      </w:pPr>
    </w:p>
    <w:p w14:paraId="4DEF7656" w14:textId="77777777" w:rsidR="004E1F2B" w:rsidRPr="003A3B61" w:rsidRDefault="004E1F2B" w:rsidP="004E1F2B">
      <w:pPr>
        <w:rPr>
          <w:rFonts w:ascii="Arial" w:hAnsi="Arial" w:cs="Arial"/>
        </w:rPr>
      </w:pPr>
    </w:p>
    <w:p w14:paraId="62CCC851" w14:textId="561C99B6" w:rsidR="00882409" w:rsidRDefault="00882409" w:rsidP="00882409">
      <w:pPr>
        <w:rPr>
          <w:rFonts w:ascii="Arial" w:eastAsia="Arial" w:hAnsi="Arial" w:cs="Arial"/>
          <w:color w:val="B8A879"/>
          <w:sz w:val="36"/>
          <w:szCs w:val="36"/>
        </w:rPr>
      </w:pPr>
      <w:r>
        <w:rPr>
          <w:rFonts w:ascii="Arial" w:eastAsia="Arial" w:hAnsi="Arial" w:cs="Arial"/>
          <w:color w:val="B8A879"/>
          <w:sz w:val="36"/>
          <w:szCs w:val="36"/>
        </w:rPr>
        <w:t>Contact details</w:t>
      </w:r>
    </w:p>
    <w:p w14:paraId="216DE145" w14:textId="77777777" w:rsidR="00882409" w:rsidRDefault="00882409" w:rsidP="002E6D99">
      <w:pPr>
        <w:rPr>
          <w:rFonts w:ascii="Arial" w:hAnsi="Arial" w:cs="Arial"/>
        </w:rPr>
      </w:pPr>
    </w:p>
    <w:p w14:paraId="0EF3AE61" w14:textId="77777777" w:rsidR="007558F5" w:rsidRDefault="00882409" w:rsidP="009D0F5B">
      <w:pPr>
        <w:rPr>
          <w:rFonts w:ascii="Arial" w:hAnsi="Arial" w:cs="Arial"/>
        </w:rPr>
      </w:pPr>
      <w:r>
        <w:rPr>
          <w:rFonts w:ascii="Arial" w:hAnsi="Arial" w:cs="Arial"/>
        </w:rPr>
        <w:t xml:space="preserve">Contact: Dr </w:t>
      </w:r>
      <w:r w:rsidR="007558F5">
        <w:rPr>
          <w:rFonts w:ascii="Arial" w:hAnsi="Arial" w:cs="Arial"/>
        </w:rPr>
        <w:t>Laurie Dowling</w:t>
      </w:r>
    </w:p>
    <w:p w14:paraId="37C39AA5" w14:textId="77777777" w:rsidR="007558F5" w:rsidRDefault="007558F5" w:rsidP="009D0F5B">
      <w:pPr>
        <w:rPr>
          <w:rFonts w:ascii="Arial" w:hAnsi="Arial" w:cs="Arial"/>
        </w:rPr>
      </w:pPr>
      <w:r>
        <w:rPr>
          <w:rFonts w:ascii="Arial" w:hAnsi="Arial" w:cs="Arial"/>
        </w:rPr>
        <w:t>Executive Officer, Qld division AVA</w:t>
      </w:r>
    </w:p>
    <w:p w14:paraId="3F417F87" w14:textId="77777777" w:rsidR="007558F5" w:rsidRDefault="00882409" w:rsidP="009D0F5B">
      <w:pPr>
        <w:rPr>
          <w:rFonts w:ascii="Arial" w:hAnsi="Arial" w:cs="Arial"/>
        </w:rPr>
      </w:pPr>
      <w:r>
        <w:rPr>
          <w:rFonts w:ascii="Arial" w:hAnsi="Arial" w:cs="Arial"/>
        </w:rPr>
        <w:t>Ph</w:t>
      </w:r>
      <w:r w:rsidR="007558F5">
        <w:rPr>
          <w:rFonts w:ascii="Arial" w:hAnsi="Arial" w:cs="Arial"/>
        </w:rPr>
        <w:t xml:space="preserve"> 07 3422   5309  </w:t>
      </w:r>
    </w:p>
    <w:p w14:paraId="62F0E94E" w14:textId="319E55C8" w:rsidR="00866358" w:rsidRDefault="00882409" w:rsidP="009D0F5B">
      <w:pPr>
        <w:rPr>
          <w:rStyle w:val="Hyperlink"/>
          <w:rFonts w:ascii="Arial" w:hAnsi="Arial" w:cs="Arial"/>
        </w:rPr>
      </w:pPr>
      <w:r>
        <w:rPr>
          <w:rFonts w:ascii="Arial" w:hAnsi="Arial" w:cs="Arial"/>
        </w:rPr>
        <w:t xml:space="preserve">email </w:t>
      </w:r>
      <w:hyperlink r:id="rId7" w:history="1">
        <w:r w:rsidR="00F544AE" w:rsidRPr="00804E61">
          <w:rPr>
            <w:rStyle w:val="Hyperlink"/>
            <w:rFonts w:ascii="Arial" w:hAnsi="Arial" w:cs="Arial"/>
          </w:rPr>
          <w:t>execqld@ava.com.au</w:t>
        </w:r>
      </w:hyperlink>
    </w:p>
    <w:p w14:paraId="5DD5EDAF" w14:textId="730C382D" w:rsidR="00FD3D8D" w:rsidRDefault="00FD3D8D" w:rsidP="009D0F5B">
      <w:pPr>
        <w:rPr>
          <w:rFonts w:ascii="Arial" w:eastAsia="Arial" w:hAnsi="Arial" w:cs="Arial"/>
        </w:rPr>
      </w:pPr>
    </w:p>
    <w:p w14:paraId="7C237598" w14:textId="77777777" w:rsidR="00AB068D" w:rsidRDefault="00AB068D" w:rsidP="009D0F5B">
      <w:pPr>
        <w:rPr>
          <w:rFonts w:ascii="Arial" w:eastAsia="Arial" w:hAnsi="Arial" w:cs="Arial"/>
          <w:b/>
        </w:rPr>
      </w:pPr>
    </w:p>
    <w:p w14:paraId="3396CEBF" w14:textId="77777777" w:rsidR="00AB068D" w:rsidRDefault="00AB068D" w:rsidP="009D0F5B">
      <w:pPr>
        <w:rPr>
          <w:rFonts w:ascii="Arial" w:eastAsia="Arial" w:hAnsi="Arial" w:cs="Arial"/>
          <w:b/>
        </w:rPr>
      </w:pPr>
    </w:p>
    <w:p w14:paraId="27F3D444" w14:textId="77777777" w:rsidR="00AB068D" w:rsidRDefault="00AB068D" w:rsidP="009D0F5B">
      <w:pPr>
        <w:rPr>
          <w:rFonts w:ascii="Arial" w:eastAsia="Arial" w:hAnsi="Arial" w:cs="Arial"/>
          <w:b/>
        </w:rPr>
      </w:pPr>
    </w:p>
    <w:p w14:paraId="682627E1" w14:textId="77777777" w:rsidR="00AB068D" w:rsidRDefault="00AB068D" w:rsidP="009D0F5B">
      <w:pPr>
        <w:rPr>
          <w:rFonts w:ascii="Arial" w:eastAsia="Arial" w:hAnsi="Arial" w:cs="Arial"/>
          <w:b/>
        </w:rPr>
      </w:pPr>
    </w:p>
    <w:p w14:paraId="700837C7" w14:textId="77777777" w:rsidR="00AB068D" w:rsidRDefault="00AB068D" w:rsidP="009D0F5B">
      <w:pPr>
        <w:rPr>
          <w:rFonts w:ascii="Arial" w:eastAsia="Arial" w:hAnsi="Arial" w:cs="Arial"/>
          <w:b/>
        </w:rPr>
      </w:pPr>
    </w:p>
    <w:p w14:paraId="62F42962" w14:textId="77777777" w:rsidR="00AB068D" w:rsidRDefault="00AB068D" w:rsidP="009D0F5B">
      <w:pPr>
        <w:rPr>
          <w:rFonts w:ascii="Arial" w:eastAsia="Arial" w:hAnsi="Arial" w:cs="Arial"/>
          <w:b/>
        </w:rPr>
      </w:pPr>
    </w:p>
    <w:p w14:paraId="1A615DB1" w14:textId="77777777" w:rsidR="00AB068D" w:rsidRDefault="00AB068D" w:rsidP="009D0F5B">
      <w:pPr>
        <w:rPr>
          <w:rFonts w:ascii="Arial" w:eastAsia="Arial" w:hAnsi="Arial" w:cs="Arial"/>
          <w:b/>
        </w:rPr>
      </w:pPr>
    </w:p>
    <w:p w14:paraId="4984D53A" w14:textId="77777777" w:rsidR="00AB068D" w:rsidRDefault="00AB068D" w:rsidP="009D0F5B">
      <w:pPr>
        <w:rPr>
          <w:rFonts w:ascii="Arial" w:eastAsia="Arial" w:hAnsi="Arial" w:cs="Arial"/>
          <w:b/>
        </w:rPr>
      </w:pPr>
    </w:p>
    <w:p w14:paraId="5AE8715B" w14:textId="77777777" w:rsidR="00AB068D" w:rsidRDefault="00AB068D" w:rsidP="009D0F5B">
      <w:pPr>
        <w:rPr>
          <w:rFonts w:ascii="Arial" w:eastAsia="Arial" w:hAnsi="Arial" w:cs="Arial"/>
          <w:b/>
        </w:rPr>
      </w:pPr>
    </w:p>
    <w:p w14:paraId="3142FEC4" w14:textId="77777777" w:rsidR="00AB068D" w:rsidRDefault="00AB068D" w:rsidP="009D0F5B">
      <w:pPr>
        <w:rPr>
          <w:rFonts w:ascii="Arial" w:eastAsia="Arial" w:hAnsi="Arial" w:cs="Arial"/>
          <w:b/>
        </w:rPr>
      </w:pPr>
    </w:p>
    <w:p w14:paraId="60799782" w14:textId="77777777" w:rsidR="00AB068D" w:rsidRDefault="00AB068D" w:rsidP="009D0F5B">
      <w:pPr>
        <w:rPr>
          <w:rFonts w:ascii="Arial" w:eastAsia="Arial" w:hAnsi="Arial" w:cs="Arial"/>
          <w:b/>
        </w:rPr>
      </w:pPr>
    </w:p>
    <w:p w14:paraId="6F0E5177" w14:textId="77777777" w:rsidR="00AB068D" w:rsidRDefault="00AB068D" w:rsidP="009D0F5B">
      <w:pPr>
        <w:rPr>
          <w:rFonts w:ascii="Arial" w:eastAsia="Arial" w:hAnsi="Arial" w:cs="Arial"/>
          <w:b/>
        </w:rPr>
      </w:pPr>
    </w:p>
    <w:p w14:paraId="3BF3AE55" w14:textId="77777777" w:rsidR="00AB068D" w:rsidRDefault="00AB068D" w:rsidP="009D0F5B">
      <w:pPr>
        <w:rPr>
          <w:rFonts w:ascii="Arial" w:eastAsia="Arial" w:hAnsi="Arial" w:cs="Arial"/>
          <w:b/>
        </w:rPr>
      </w:pPr>
    </w:p>
    <w:p w14:paraId="07F80942" w14:textId="77777777" w:rsidR="00AB068D" w:rsidRDefault="00AB068D" w:rsidP="009D0F5B">
      <w:pPr>
        <w:rPr>
          <w:rFonts w:ascii="Arial" w:eastAsia="Arial" w:hAnsi="Arial" w:cs="Arial"/>
          <w:b/>
        </w:rPr>
      </w:pPr>
    </w:p>
    <w:p w14:paraId="63214B52" w14:textId="77777777" w:rsidR="00AB068D" w:rsidRDefault="00AB068D" w:rsidP="009D0F5B">
      <w:pPr>
        <w:rPr>
          <w:rFonts w:ascii="Arial" w:eastAsia="Arial" w:hAnsi="Arial" w:cs="Arial"/>
          <w:b/>
        </w:rPr>
      </w:pPr>
    </w:p>
    <w:p w14:paraId="47E6D489" w14:textId="77777777" w:rsidR="004B5B50" w:rsidRDefault="004B5B50" w:rsidP="009D0F5B">
      <w:pPr>
        <w:rPr>
          <w:rFonts w:ascii="Arial" w:eastAsia="Arial" w:hAnsi="Arial" w:cs="Arial"/>
          <w:b/>
        </w:rPr>
      </w:pPr>
    </w:p>
    <w:p w14:paraId="76C3D3D2" w14:textId="77777777" w:rsidR="004B5B50" w:rsidRDefault="004B5B50" w:rsidP="009D0F5B">
      <w:pPr>
        <w:rPr>
          <w:rFonts w:ascii="Arial" w:eastAsia="Arial" w:hAnsi="Arial" w:cs="Arial"/>
          <w:b/>
        </w:rPr>
      </w:pPr>
    </w:p>
    <w:p w14:paraId="54346FCB" w14:textId="77777777" w:rsidR="004B5B50" w:rsidRDefault="004B5B50" w:rsidP="009D0F5B">
      <w:pPr>
        <w:rPr>
          <w:rFonts w:ascii="Arial" w:eastAsia="Arial" w:hAnsi="Arial" w:cs="Arial"/>
          <w:b/>
        </w:rPr>
      </w:pPr>
    </w:p>
    <w:p w14:paraId="0D92FD80" w14:textId="77777777" w:rsidR="004B5B50" w:rsidRDefault="004B5B50" w:rsidP="009D0F5B">
      <w:pPr>
        <w:rPr>
          <w:rFonts w:ascii="Arial" w:eastAsia="Arial" w:hAnsi="Arial" w:cs="Arial"/>
          <w:b/>
        </w:rPr>
      </w:pPr>
    </w:p>
    <w:p w14:paraId="20A0F308" w14:textId="77777777" w:rsidR="004B5B50" w:rsidRDefault="004B5B50" w:rsidP="009D0F5B">
      <w:pPr>
        <w:rPr>
          <w:rFonts w:ascii="Arial" w:eastAsia="Arial" w:hAnsi="Arial" w:cs="Arial"/>
          <w:b/>
        </w:rPr>
      </w:pPr>
    </w:p>
    <w:p w14:paraId="3E84D51A" w14:textId="77777777" w:rsidR="004B5B50" w:rsidRDefault="004B5B50" w:rsidP="009D0F5B">
      <w:pPr>
        <w:rPr>
          <w:rFonts w:ascii="Arial" w:eastAsia="Arial" w:hAnsi="Arial" w:cs="Arial"/>
          <w:b/>
        </w:rPr>
      </w:pPr>
    </w:p>
    <w:p w14:paraId="7D4D369F" w14:textId="77777777" w:rsidR="004B5B50" w:rsidRDefault="004B5B50" w:rsidP="009D0F5B">
      <w:pPr>
        <w:rPr>
          <w:rFonts w:ascii="Arial" w:eastAsia="Arial" w:hAnsi="Arial" w:cs="Arial"/>
          <w:b/>
        </w:rPr>
      </w:pPr>
    </w:p>
    <w:p w14:paraId="1B286511" w14:textId="77777777" w:rsidR="004B5B50" w:rsidRDefault="004B5B50" w:rsidP="009D0F5B">
      <w:pPr>
        <w:rPr>
          <w:rFonts w:ascii="Arial" w:eastAsia="Arial" w:hAnsi="Arial" w:cs="Arial"/>
          <w:b/>
        </w:rPr>
      </w:pPr>
    </w:p>
    <w:p w14:paraId="35269343" w14:textId="77777777" w:rsidR="004B5B50" w:rsidRDefault="004B5B50" w:rsidP="009D0F5B">
      <w:pPr>
        <w:rPr>
          <w:rFonts w:ascii="Arial" w:eastAsia="Arial" w:hAnsi="Arial" w:cs="Arial"/>
          <w:b/>
        </w:rPr>
      </w:pPr>
    </w:p>
    <w:p w14:paraId="36D412E1" w14:textId="77B9FCDD" w:rsidR="00FD3D8D" w:rsidRPr="00934694" w:rsidRDefault="00FD3D8D" w:rsidP="009D0F5B">
      <w:pPr>
        <w:rPr>
          <w:rFonts w:ascii="Arial" w:eastAsia="Arial" w:hAnsi="Arial" w:cs="Arial"/>
          <w:b/>
        </w:rPr>
      </w:pPr>
      <w:r w:rsidRPr="00934694">
        <w:rPr>
          <w:rFonts w:ascii="Arial" w:eastAsia="Arial" w:hAnsi="Arial" w:cs="Arial"/>
          <w:b/>
        </w:rPr>
        <w:lastRenderedPageBreak/>
        <w:t xml:space="preserve">APPENDIX </w:t>
      </w:r>
    </w:p>
    <w:p w14:paraId="3EEB5147" w14:textId="6499E4A3" w:rsidR="00FD3D8D" w:rsidRPr="00934694" w:rsidRDefault="00FD3D8D" w:rsidP="009D0F5B">
      <w:pPr>
        <w:rPr>
          <w:rFonts w:ascii="Arial" w:eastAsia="Arial" w:hAnsi="Arial" w:cs="Arial"/>
          <w:b/>
        </w:rPr>
      </w:pPr>
    </w:p>
    <w:p w14:paraId="37C448D1" w14:textId="77777777" w:rsidR="00FD3D8D" w:rsidRPr="00274947" w:rsidRDefault="00FD3D8D" w:rsidP="00FD3D8D">
      <w:pPr>
        <w:pStyle w:val="BodyTextIndent"/>
        <w:tabs>
          <w:tab w:val="left" w:pos="540"/>
        </w:tabs>
        <w:ind w:left="540" w:right="765"/>
        <w:jc w:val="center"/>
        <w:rPr>
          <w:rFonts w:ascii="Arial" w:hAnsi="Arial" w:cs="Arial"/>
          <w:b/>
          <w:sz w:val="32"/>
          <w:szCs w:val="32"/>
        </w:rPr>
      </w:pPr>
      <w:r w:rsidRPr="00274947">
        <w:rPr>
          <w:rFonts w:ascii="Arial" w:hAnsi="Arial" w:cs="Arial"/>
          <w:b/>
          <w:sz w:val="32"/>
          <w:szCs w:val="32"/>
        </w:rPr>
        <w:t>Australian Veterinary Association</w:t>
      </w:r>
    </w:p>
    <w:p w14:paraId="002A509F" w14:textId="77777777" w:rsidR="00FD3D8D" w:rsidRDefault="00FD3D8D" w:rsidP="00FD3D8D">
      <w:pPr>
        <w:pStyle w:val="BodyTextIndent"/>
        <w:tabs>
          <w:tab w:val="left" w:pos="540"/>
        </w:tabs>
        <w:ind w:left="540" w:right="765"/>
        <w:jc w:val="center"/>
        <w:rPr>
          <w:rFonts w:ascii="Arial" w:hAnsi="Arial" w:cs="Arial"/>
          <w:sz w:val="22"/>
          <w:szCs w:val="22"/>
        </w:rPr>
      </w:pPr>
    </w:p>
    <w:p w14:paraId="72639D4E" w14:textId="77777777" w:rsidR="00FD3D8D" w:rsidRDefault="00FD3D8D" w:rsidP="00FD3D8D">
      <w:pPr>
        <w:pStyle w:val="BodyTextIndent"/>
        <w:tabs>
          <w:tab w:val="left" w:pos="540"/>
        </w:tabs>
        <w:ind w:left="540" w:right="765"/>
        <w:jc w:val="center"/>
        <w:rPr>
          <w:rFonts w:ascii="Arial" w:hAnsi="Arial" w:cs="Arial"/>
          <w:b/>
          <w:sz w:val="36"/>
          <w:szCs w:val="36"/>
        </w:rPr>
      </w:pPr>
      <w:r>
        <w:rPr>
          <w:rFonts w:ascii="Arial" w:hAnsi="Arial" w:cs="Arial"/>
          <w:b/>
          <w:sz w:val="36"/>
          <w:szCs w:val="36"/>
        </w:rPr>
        <w:t>Prescribing, Authorising and Dispensing (PAD) Checklist</w:t>
      </w:r>
    </w:p>
    <w:p w14:paraId="7296A65B" w14:textId="77777777" w:rsidR="00FD3D8D" w:rsidRDefault="00FD3D8D" w:rsidP="00FD3D8D">
      <w:pPr>
        <w:pStyle w:val="BodyTextIndent"/>
        <w:tabs>
          <w:tab w:val="left" w:pos="540"/>
        </w:tabs>
        <w:ind w:left="540" w:right="765"/>
        <w:jc w:val="center"/>
        <w:rPr>
          <w:rFonts w:ascii="Arial" w:hAnsi="Arial" w:cs="Arial"/>
          <w:b/>
        </w:rPr>
      </w:pPr>
    </w:p>
    <w:p w14:paraId="1878E460" w14:textId="77777777" w:rsidR="00FD3D8D" w:rsidRDefault="00FD3D8D" w:rsidP="00FD3D8D">
      <w:pPr>
        <w:pStyle w:val="BodyTextIndent"/>
        <w:tabs>
          <w:tab w:val="left" w:pos="540"/>
          <w:tab w:val="left" w:pos="1418"/>
          <w:tab w:val="left" w:pos="2410"/>
        </w:tabs>
        <w:ind w:left="540" w:right="765"/>
        <w:rPr>
          <w:rFonts w:ascii="Arial" w:hAnsi="Arial" w:cs="Arial"/>
          <w:i/>
        </w:rPr>
      </w:pPr>
      <w:r>
        <w:rPr>
          <w:rFonts w:ascii="Arial" w:hAnsi="Arial" w:cs="Arial"/>
          <w:i/>
        </w:rPr>
        <w:t>Veterinarians should use this checklist whenever prescribing, authorising or dispensing (supplying) drugs, and are advised to include the PAD checklist in the clinical record if prescribing, authorising or dispensing occurs in any circumstance other than a fully-documented clinical examination.</w:t>
      </w:r>
    </w:p>
    <w:p w14:paraId="70DDFF54" w14:textId="77777777" w:rsidR="00FD3D8D" w:rsidRDefault="00FD3D8D" w:rsidP="00FD3D8D">
      <w:pPr>
        <w:pStyle w:val="BodyTextIndent"/>
        <w:tabs>
          <w:tab w:val="left" w:pos="540"/>
        </w:tabs>
        <w:ind w:left="540" w:right="765"/>
      </w:pPr>
    </w:p>
    <w:p w14:paraId="0F992C29" w14:textId="77777777" w:rsidR="00FD3D8D" w:rsidRPr="00274947" w:rsidRDefault="00FD3D8D" w:rsidP="00FD3D8D">
      <w:pPr>
        <w:pStyle w:val="BodyTextIndent"/>
        <w:tabs>
          <w:tab w:val="left" w:pos="540"/>
          <w:tab w:val="left" w:pos="1080"/>
        </w:tabs>
        <w:spacing w:before="40" w:after="0"/>
        <w:ind w:left="540" w:right="765"/>
        <w:rPr>
          <w:rFonts w:ascii="Arial" w:hAnsi="Arial" w:cs="Arial"/>
          <w:b/>
        </w:rPr>
      </w:pPr>
      <w:r w:rsidRPr="00274947">
        <w:rPr>
          <w:rFonts w:ascii="Arial" w:hAnsi="Arial" w:cs="Arial"/>
          <w:b/>
        </w:rPr>
        <w:t>BEFORE</w:t>
      </w:r>
      <w:r w:rsidRPr="00274947">
        <w:rPr>
          <w:rFonts w:ascii="Arial" w:hAnsi="Arial" w:cs="Arial"/>
          <w:b/>
        </w:rPr>
        <w:tab/>
      </w:r>
    </w:p>
    <w:p w14:paraId="023FD114" w14:textId="77777777" w:rsidR="00FD3D8D" w:rsidRPr="00274947" w:rsidRDefault="00FD3D8D" w:rsidP="00FD3D8D">
      <w:pPr>
        <w:pStyle w:val="BodyTextIndent"/>
        <w:tabs>
          <w:tab w:val="left" w:pos="540"/>
          <w:tab w:val="left" w:pos="1080"/>
        </w:tabs>
        <w:spacing w:before="40" w:after="0"/>
        <w:ind w:left="540" w:right="765"/>
        <w:rPr>
          <w:rFonts w:ascii="Arial" w:hAnsi="Arial" w:cs="Arial"/>
          <w:b/>
        </w:rPr>
      </w:pPr>
      <w:r w:rsidRPr="00274947">
        <w:rPr>
          <w:rFonts w:ascii="Arial" w:hAnsi="Arial" w:cs="Arial"/>
          <w:b/>
        </w:rPr>
        <w:tab/>
        <w:t>-  prescribing and dispensing a Schedule 4 (PAR) or 8 (Controlled) drug,</w:t>
      </w:r>
    </w:p>
    <w:p w14:paraId="654497DF" w14:textId="77777777" w:rsidR="00FD3D8D" w:rsidRPr="00274947" w:rsidRDefault="00FD3D8D" w:rsidP="00FD3D8D">
      <w:pPr>
        <w:pStyle w:val="BodyTextIndent"/>
        <w:tabs>
          <w:tab w:val="left" w:pos="540"/>
          <w:tab w:val="left" w:pos="1080"/>
        </w:tabs>
        <w:spacing w:before="40" w:after="0"/>
        <w:ind w:left="540" w:right="765"/>
        <w:rPr>
          <w:rFonts w:ascii="Arial" w:hAnsi="Arial" w:cs="Arial"/>
          <w:b/>
        </w:rPr>
      </w:pPr>
      <w:r w:rsidRPr="00274947">
        <w:rPr>
          <w:rFonts w:ascii="Arial" w:hAnsi="Arial" w:cs="Arial"/>
          <w:b/>
        </w:rPr>
        <w:tab/>
        <w:t>-  prescribing and dispensing any other veterinary medicine whether registered or not,</w:t>
      </w:r>
    </w:p>
    <w:p w14:paraId="13833B48" w14:textId="77777777" w:rsidR="00FD3D8D" w:rsidRPr="00274947" w:rsidRDefault="00FD3D8D" w:rsidP="00FD3D8D">
      <w:pPr>
        <w:pStyle w:val="BodyTextIndent"/>
        <w:tabs>
          <w:tab w:val="left" w:pos="540"/>
          <w:tab w:val="left" w:pos="1080"/>
        </w:tabs>
        <w:spacing w:before="40" w:after="0"/>
        <w:ind w:left="540" w:right="765"/>
        <w:rPr>
          <w:rFonts w:ascii="Arial" w:hAnsi="Arial" w:cs="Arial"/>
          <w:b/>
        </w:rPr>
      </w:pPr>
      <w:r w:rsidRPr="00274947">
        <w:rPr>
          <w:rFonts w:ascii="Arial" w:hAnsi="Arial" w:cs="Arial"/>
          <w:b/>
        </w:rPr>
        <w:tab/>
        <w:t>-  authorising or prescribing a veterinary medicine for inclusion in a stock feed or premix,</w:t>
      </w:r>
    </w:p>
    <w:p w14:paraId="2C85E78A" w14:textId="77777777" w:rsidR="00FD3D8D" w:rsidRPr="00274947" w:rsidRDefault="00FD3D8D" w:rsidP="00FD3D8D">
      <w:pPr>
        <w:pStyle w:val="BodyTextIndent"/>
        <w:tabs>
          <w:tab w:val="left" w:pos="540"/>
          <w:tab w:val="left" w:pos="1080"/>
        </w:tabs>
        <w:spacing w:before="40" w:after="0"/>
        <w:ind w:left="540" w:right="765"/>
        <w:rPr>
          <w:rFonts w:ascii="Arial" w:hAnsi="Arial" w:cs="Arial"/>
          <w:b/>
        </w:rPr>
      </w:pPr>
      <w:r w:rsidRPr="00274947">
        <w:rPr>
          <w:rFonts w:ascii="Arial" w:hAnsi="Arial" w:cs="Arial"/>
          <w:b/>
        </w:rPr>
        <w:tab/>
        <w:t xml:space="preserve">-  authorising or prescribing ‘off-label’ use of a registered drug or veterinary medicine, </w:t>
      </w:r>
    </w:p>
    <w:p w14:paraId="28105D52" w14:textId="77777777" w:rsidR="00FD3D8D" w:rsidRPr="00274947" w:rsidRDefault="00FD3D8D" w:rsidP="00FD3D8D">
      <w:pPr>
        <w:pStyle w:val="BodyTextIndent"/>
        <w:tabs>
          <w:tab w:val="left" w:pos="540"/>
          <w:tab w:val="left" w:pos="1260"/>
        </w:tabs>
        <w:spacing w:after="0"/>
        <w:ind w:left="540" w:right="765"/>
        <w:rPr>
          <w:rFonts w:ascii="Arial" w:hAnsi="Arial" w:cs="Arial"/>
          <w:b/>
        </w:rPr>
      </w:pPr>
      <w:r w:rsidRPr="00274947">
        <w:rPr>
          <w:rFonts w:ascii="Arial" w:hAnsi="Arial" w:cs="Arial"/>
          <w:b/>
        </w:rPr>
        <w:tab/>
        <w:t>ensure that the following conditions are met:</w:t>
      </w:r>
    </w:p>
    <w:p w14:paraId="16D8D182" w14:textId="77777777" w:rsidR="00FD3D8D" w:rsidRPr="00274947" w:rsidRDefault="00FD3D8D" w:rsidP="00FD3D8D">
      <w:pPr>
        <w:pStyle w:val="BodyTextIndent"/>
        <w:tabs>
          <w:tab w:val="left" w:pos="540"/>
          <w:tab w:val="left" w:pos="1418"/>
        </w:tabs>
        <w:spacing w:after="0"/>
        <w:ind w:left="540" w:right="765"/>
        <w:rPr>
          <w:rFonts w:ascii="Arial" w:hAnsi="Arial" w:cs="Arial"/>
        </w:rPr>
      </w:pPr>
    </w:p>
    <w:p w14:paraId="16EA1CFB" w14:textId="77777777" w:rsidR="00FD3D8D" w:rsidRPr="00274947" w:rsidRDefault="00FD3D8D" w:rsidP="00FD3D8D">
      <w:pPr>
        <w:pStyle w:val="BodyTextIndent"/>
        <w:tabs>
          <w:tab w:val="left" w:pos="540"/>
          <w:tab w:val="left" w:pos="900"/>
          <w:tab w:val="left" w:pos="4860"/>
        </w:tabs>
        <w:spacing w:after="160"/>
        <w:ind w:left="540" w:right="765"/>
        <w:rPr>
          <w:rFonts w:ascii="Arial" w:hAnsi="Arial" w:cs="Arial"/>
        </w:rPr>
      </w:pPr>
      <w:r w:rsidRPr="00274947">
        <w:rPr>
          <w:rFonts w:ascii="Arial" w:hAnsi="Arial" w:cs="Arial"/>
          <w:sz w:val="32"/>
          <w:szCs w:val="32"/>
        </w:rPr>
        <w:t>□</w:t>
      </w:r>
      <w:r w:rsidRPr="00274947">
        <w:rPr>
          <w:rFonts w:ascii="Arial" w:hAnsi="Arial" w:cs="Arial"/>
        </w:rPr>
        <w:tab/>
        <w:t xml:space="preserve">The person presenting the animal(s) is a </w:t>
      </w:r>
      <w:r w:rsidRPr="00274947">
        <w:rPr>
          <w:rFonts w:ascii="Arial" w:hAnsi="Arial" w:cs="Arial"/>
          <w:i/>
        </w:rPr>
        <w:t xml:space="preserve">bona fide </w:t>
      </w:r>
      <w:r w:rsidRPr="00274947">
        <w:rPr>
          <w:rFonts w:ascii="Arial" w:hAnsi="Arial" w:cs="Arial"/>
        </w:rPr>
        <w:t>client.</w:t>
      </w:r>
    </w:p>
    <w:p w14:paraId="2E6677DE" w14:textId="77777777" w:rsidR="00FD3D8D" w:rsidRPr="00274947" w:rsidRDefault="00FD3D8D" w:rsidP="00FD3D8D">
      <w:pPr>
        <w:pStyle w:val="BodyTextIndent"/>
        <w:tabs>
          <w:tab w:val="left" w:pos="540"/>
          <w:tab w:val="left" w:pos="900"/>
          <w:tab w:val="left" w:pos="4860"/>
        </w:tabs>
        <w:spacing w:after="160"/>
        <w:ind w:left="540" w:right="765"/>
        <w:rPr>
          <w:rFonts w:ascii="Arial" w:hAnsi="Arial" w:cs="Arial"/>
        </w:rPr>
      </w:pPr>
      <w:r w:rsidRPr="00274947">
        <w:rPr>
          <w:rFonts w:ascii="Arial" w:hAnsi="Arial" w:cs="Arial"/>
          <w:sz w:val="32"/>
          <w:szCs w:val="32"/>
        </w:rPr>
        <w:t>□</w:t>
      </w:r>
      <w:r w:rsidRPr="00274947">
        <w:rPr>
          <w:rFonts w:ascii="Arial" w:hAnsi="Arial" w:cs="Arial"/>
          <w:sz w:val="32"/>
          <w:szCs w:val="32"/>
        </w:rPr>
        <w:tab/>
      </w:r>
      <w:r w:rsidRPr="00274947">
        <w:rPr>
          <w:rFonts w:ascii="Arial" w:hAnsi="Arial" w:cs="Arial"/>
        </w:rPr>
        <w:t>I have current knowledge of the management, health status and drug status of the animal(s) and am satisfied there is a therapeutic or prophylactic need for the use and/or supply of this drug.</w:t>
      </w:r>
    </w:p>
    <w:p w14:paraId="2C113958" w14:textId="77777777" w:rsidR="00FD3D8D" w:rsidRPr="00274947" w:rsidRDefault="00FD3D8D" w:rsidP="00FD3D8D">
      <w:pPr>
        <w:pStyle w:val="BodyTextIndent"/>
        <w:tabs>
          <w:tab w:val="left" w:pos="900"/>
          <w:tab w:val="left" w:pos="4860"/>
        </w:tabs>
        <w:spacing w:after="0"/>
        <w:ind w:left="900" w:right="765" w:hanging="360"/>
        <w:rPr>
          <w:rFonts w:ascii="Arial" w:hAnsi="Arial" w:cs="Arial"/>
        </w:rPr>
      </w:pPr>
      <w:r w:rsidRPr="00274947">
        <w:rPr>
          <w:rFonts w:ascii="Arial" w:hAnsi="Arial" w:cs="Arial"/>
          <w:sz w:val="32"/>
          <w:szCs w:val="32"/>
        </w:rPr>
        <w:t>□</w:t>
      </w:r>
      <w:r w:rsidRPr="00274947">
        <w:rPr>
          <w:rFonts w:ascii="Arial" w:hAnsi="Arial" w:cs="Arial"/>
          <w:sz w:val="32"/>
          <w:szCs w:val="32"/>
        </w:rPr>
        <w:tab/>
      </w:r>
      <w:r w:rsidRPr="00274947">
        <w:rPr>
          <w:rFonts w:ascii="Arial" w:hAnsi="Arial" w:cs="Arial"/>
        </w:rPr>
        <w:t xml:space="preserve">I have followed the requirements of the drugs and poisons and control-of-use legislation in my state/territory in regard to: </w:t>
      </w:r>
    </w:p>
    <w:p w14:paraId="2BD1B990" w14:textId="77777777" w:rsidR="00FD3D8D" w:rsidRPr="00274947" w:rsidRDefault="00FD3D8D" w:rsidP="00FD3D8D">
      <w:pPr>
        <w:pStyle w:val="BodyTextIndent"/>
        <w:numPr>
          <w:ilvl w:val="0"/>
          <w:numId w:val="11"/>
        </w:numPr>
        <w:tabs>
          <w:tab w:val="left" w:pos="540"/>
          <w:tab w:val="left" w:pos="1260"/>
          <w:tab w:val="left" w:pos="3060"/>
          <w:tab w:val="left" w:pos="4860"/>
        </w:tabs>
        <w:spacing w:after="0"/>
        <w:ind w:left="540" w:right="765" w:firstLine="360"/>
        <w:rPr>
          <w:rFonts w:ascii="Arial" w:hAnsi="Arial" w:cs="Arial"/>
        </w:rPr>
      </w:pPr>
      <w:r w:rsidRPr="00274947">
        <w:rPr>
          <w:rFonts w:ascii="Arial" w:hAnsi="Arial" w:cs="Arial"/>
        </w:rPr>
        <w:t>the ordering, purchase, storage, use and supply of this product (including any ‘off-label’ use),</w:t>
      </w:r>
    </w:p>
    <w:p w14:paraId="27C8A5ED" w14:textId="77777777" w:rsidR="00FD3D8D" w:rsidRPr="00274947" w:rsidRDefault="00FD3D8D" w:rsidP="00FD3D8D">
      <w:pPr>
        <w:pStyle w:val="BodyTextIndent"/>
        <w:numPr>
          <w:ilvl w:val="0"/>
          <w:numId w:val="11"/>
        </w:numPr>
        <w:tabs>
          <w:tab w:val="left" w:pos="540"/>
          <w:tab w:val="left" w:pos="1260"/>
          <w:tab w:val="left" w:pos="3060"/>
          <w:tab w:val="left" w:pos="4860"/>
        </w:tabs>
        <w:spacing w:after="0"/>
        <w:ind w:left="540" w:right="765" w:firstLine="360"/>
        <w:rPr>
          <w:rFonts w:ascii="Arial" w:hAnsi="Arial" w:cs="Arial"/>
        </w:rPr>
      </w:pPr>
      <w:r w:rsidRPr="00274947">
        <w:rPr>
          <w:rFonts w:ascii="Arial" w:hAnsi="Arial" w:cs="Arial"/>
        </w:rPr>
        <w:t>the use of appropriate containers,</w:t>
      </w:r>
    </w:p>
    <w:p w14:paraId="57923C0E" w14:textId="77777777" w:rsidR="00FD3D8D" w:rsidRPr="00274947" w:rsidRDefault="00FD3D8D" w:rsidP="00FD3D8D">
      <w:pPr>
        <w:pStyle w:val="BodyTextIndent"/>
        <w:numPr>
          <w:ilvl w:val="0"/>
          <w:numId w:val="11"/>
        </w:numPr>
        <w:tabs>
          <w:tab w:val="left" w:pos="540"/>
          <w:tab w:val="left" w:pos="1260"/>
          <w:tab w:val="left" w:pos="3060"/>
          <w:tab w:val="left" w:pos="4860"/>
        </w:tabs>
        <w:spacing w:after="0"/>
        <w:ind w:left="540" w:right="765" w:firstLine="360"/>
        <w:rPr>
          <w:rFonts w:ascii="Arial" w:hAnsi="Arial" w:cs="Arial"/>
        </w:rPr>
      </w:pPr>
      <w:r w:rsidRPr="00274947">
        <w:rPr>
          <w:rFonts w:ascii="Arial" w:hAnsi="Arial" w:cs="Arial"/>
        </w:rPr>
        <w:t>labelling requirements, including the provision of advice notes,</w:t>
      </w:r>
    </w:p>
    <w:p w14:paraId="2016BF74" w14:textId="77777777" w:rsidR="00FD3D8D" w:rsidRPr="00274947" w:rsidRDefault="00FD3D8D" w:rsidP="00FD3D8D">
      <w:pPr>
        <w:pStyle w:val="BodyTextIndent"/>
        <w:numPr>
          <w:ilvl w:val="0"/>
          <w:numId w:val="11"/>
        </w:numPr>
        <w:tabs>
          <w:tab w:val="left" w:pos="540"/>
          <w:tab w:val="left" w:pos="1260"/>
          <w:tab w:val="left" w:pos="3060"/>
          <w:tab w:val="left" w:pos="4860"/>
        </w:tabs>
        <w:spacing w:after="160"/>
        <w:ind w:left="540" w:right="765" w:firstLine="360"/>
        <w:rPr>
          <w:rFonts w:ascii="Arial" w:hAnsi="Arial" w:cs="Arial"/>
        </w:rPr>
      </w:pPr>
      <w:r w:rsidRPr="00274947">
        <w:rPr>
          <w:rFonts w:ascii="Arial" w:hAnsi="Arial" w:cs="Arial"/>
        </w:rPr>
        <w:t xml:space="preserve">recording requirements (including any guidelines from my professional registration body). </w:t>
      </w:r>
    </w:p>
    <w:p w14:paraId="23BB7ADE" w14:textId="2CA9F0C4" w:rsidR="00FD3D8D" w:rsidRPr="00274947" w:rsidRDefault="00FD3D8D" w:rsidP="00FD3D8D">
      <w:pPr>
        <w:pStyle w:val="BodyTextIndent"/>
        <w:tabs>
          <w:tab w:val="left" w:pos="900"/>
          <w:tab w:val="left" w:pos="4860"/>
        </w:tabs>
        <w:spacing w:after="160"/>
        <w:ind w:left="900" w:right="765" w:hanging="360"/>
        <w:rPr>
          <w:rFonts w:ascii="Arial" w:hAnsi="Arial" w:cs="Arial"/>
        </w:rPr>
      </w:pPr>
      <w:r w:rsidRPr="00274947">
        <w:rPr>
          <w:rFonts w:ascii="Arial" w:hAnsi="Arial" w:cs="Arial"/>
          <w:sz w:val="32"/>
          <w:szCs w:val="32"/>
        </w:rPr>
        <w:t>□</w:t>
      </w:r>
      <w:r w:rsidRPr="00274947">
        <w:rPr>
          <w:rFonts w:ascii="Arial" w:hAnsi="Arial" w:cs="Arial"/>
          <w:sz w:val="32"/>
          <w:szCs w:val="32"/>
        </w:rPr>
        <w:tab/>
      </w:r>
      <w:r w:rsidRPr="00274947">
        <w:rPr>
          <w:rFonts w:ascii="Arial" w:hAnsi="Arial" w:cs="Arial"/>
        </w:rPr>
        <w:t xml:space="preserve">I am confident the client understands my instructions regarding the use and storage (and where appropriate, identification of treated animals and relevant withholding restrictions) of this </w:t>
      </w:r>
      <w:r w:rsidR="00863D52" w:rsidRPr="00274947">
        <w:rPr>
          <w:rFonts w:ascii="Arial" w:hAnsi="Arial" w:cs="Arial"/>
        </w:rPr>
        <w:t>drug and</w:t>
      </w:r>
      <w:r w:rsidRPr="00274947">
        <w:rPr>
          <w:rFonts w:ascii="Arial" w:hAnsi="Arial" w:cs="Arial"/>
        </w:rPr>
        <w:t xml:space="preserve"> is able to use it properly and safely.</w:t>
      </w:r>
    </w:p>
    <w:p w14:paraId="6A655330" w14:textId="77777777" w:rsidR="00FD3D8D" w:rsidRPr="00274947" w:rsidRDefault="00FD3D8D" w:rsidP="00FD3D8D">
      <w:pPr>
        <w:pStyle w:val="BodyTextIndent"/>
        <w:tabs>
          <w:tab w:val="left" w:pos="900"/>
          <w:tab w:val="left" w:pos="4860"/>
        </w:tabs>
        <w:spacing w:after="160"/>
        <w:ind w:left="900" w:right="765" w:hanging="360"/>
        <w:rPr>
          <w:rFonts w:ascii="Arial" w:hAnsi="Arial" w:cs="Arial"/>
        </w:rPr>
      </w:pPr>
      <w:r w:rsidRPr="00274947">
        <w:rPr>
          <w:rFonts w:ascii="Arial" w:hAnsi="Arial" w:cs="Arial"/>
          <w:sz w:val="32"/>
          <w:szCs w:val="32"/>
        </w:rPr>
        <w:t>□</w:t>
      </w:r>
      <w:r w:rsidRPr="00274947">
        <w:rPr>
          <w:rFonts w:ascii="Arial" w:hAnsi="Arial" w:cs="Arial"/>
          <w:sz w:val="32"/>
          <w:szCs w:val="32"/>
        </w:rPr>
        <w:tab/>
      </w:r>
      <w:r w:rsidRPr="00274947">
        <w:rPr>
          <w:rFonts w:ascii="Arial" w:hAnsi="Arial" w:cs="Arial"/>
        </w:rPr>
        <w:t xml:space="preserve">The amount I am prescribing/dispensing is reasonable for treatment of the condition for which I have documented the therapeutic need.  </w:t>
      </w:r>
    </w:p>
    <w:p w14:paraId="4C354FA6" w14:textId="77777777" w:rsidR="00FD3D8D" w:rsidRPr="00274947" w:rsidRDefault="00FD3D8D" w:rsidP="00FD3D8D">
      <w:pPr>
        <w:pStyle w:val="BodyTextIndent"/>
        <w:tabs>
          <w:tab w:val="left" w:pos="900"/>
          <w:tab w:val="left" w:pos="4860"/>
        </w:tabs>
        <w:spacing w:after="0"/>
        <w:ind w:left="900" w:right="765" w:hanging="360"/>
        <w:rPr>
          <w:rFonts w:ascii="Arial" w:hAnsi="Arial" w:cs="Arial"/>
        </w:rPr>
      </w:pPr>
      <w:r w:rsidRPr="00274947">
        <w:rPr>
          <w:rFonts w:ascii="Arial" w:hAnsi="Arial" w:cs="Arial"/>
          <w:sz w:val="32"/>
          <w:szCs w:val="32"/>
        </w:rPr>
        <w:t>□</w:t>
      </w:r>
      <w:r w:rsidRPr="00274947">
        <w:rPr>
          <w:rFonts w:ascii="Arial" w:hAnsi="Arial" w:cs="Arial"/>
        </w:rPr>
        <w:tab/>
        <w:t>If the drug is an antibiotic, I have considered the expected infectious agent, spectrum of activity of the drug and implications of antimicrobial resistance.</w:t>
      </w:r>
    </w:p>
    <w:p w14:paraId="7EE524DE" w14:textId="77777777" w:rsidR="00FD3D8D" w:rsidRPr="00600A63" w:rsidRDefault="00FD3D8D" w:rsidP="009D0F5B">
      <w:pPr>
        <w:rPr>
          <w:rFonts w:ascii="Arial" w:eastAsia="Arial" w:hAnsi="Arial" w:cs="Arial"/>
        </w:rPr>
      </w:pPr>
    </w:p>
    <w:sectPr w:rsidR="00FD3D8D" w:rsidRPr="00600A63">
      <w:pgSz w:w="12120" w:h="17000"/>
      <w:pgMar w:top="1300" w:right="9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779A"/>
    <w:multiLevelType w:val="hybridMultilevel"/>
    <w:tmpl w:val="68365DF4"/>
    <w:lvl w:ilvl="0" w:tplc="E48A245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5226B3"/>
    <w:multiLevelType w:val="hybridMultilevel"/>
    <w:tmpl w:val="97A89246"/>
    <w:lvl w:ilvl="0" w:tplc="5F56EE2C">
      <w:numFmt w:val="bullet"/>
      <w:lvlText w:val=""/>
      <w:lvlJc w:val="left"/>
      <w:pPr>
        <w:ind w:left="765" w:hanging="360"/>
      </w:pPr>
      <w:rPr>
        <w:rFonts w:ascii="Symbol" w:eastAsiaTheme="minorHAnsi" w:hAnsi="Symbol" w:cstheme="minorBidi"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D6044EC"/>
    <w:multiLevelType w:val="hybridMultilevel"/>
    <w:tmpl w:val="A1E20C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90C0472"/>
    <w:multiLevelType w:val="hybridMultilevel"/>
    <w:tmpl w:val="C5C22F90"/>
    <w:lvl w:ilvl="0" w:tplc="5F56EE2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B73C20"/>
    <w:multiLevelType w:val="hybridMultilevel"/>
    <w:tmpl w:val="92D0A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823BD5"/>
    <w:multiLevelType w:val="multilevel"/>
    <w:tmpl w:val="121C015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2297285F"/>
    <w:multiLevelType w:val="hybridMultilevel"/>
    <w:tmpl w:val="0B0051F4"/>
    <w:lvl w:ilvl="0" w:tplc="9A701FB2">
      <w:start w:val="1"/>
      <w:numFmt w:val="bullet"/>
      <w:lvlText w:val=""/>
      <w:lvlJc w:val="left"/>
      <w:pPr>
        <w:tabs>
          <w:tab w:val="num" w:pos="1980"/>
        </w:tabs>
        <w:ind w:left="19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57824"/>
    <w:multiLevelType w:val="multilevel"/>
    <w:tmpl w:val="B0541F4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15:restartNumberingAfterBreak="0">
    <w:nsid w:val="3A9D4FC6"/>
    <w:multiLevelType w:val="hybridMultilevel"/>
    <w:tmpl w:val="5B5A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086586"/>
    <w:multiLevelType w:val="hybridMultilevel"/>
    <w:tmpl w:val="6BB0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EA1665"/>
    <w:multiLevelType w:val="hybridMultilevel"/>
    <w:tmpl w:val="3C5CF38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5B67FB"/>
    <w:multiLevelType w:val="hybridMultilevel"/>
    <w:tmpl w:val="C7F23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D256DC"/>
    <w:multiLevelType w:val="hybridMultilevel"/>
    <w:tmpl w:val="C78E478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6A336CF4"/>
    <w:multiLevelType w:val="hybridMultilevel"/>
    <w:tmpl w:val="4B961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D855D4"/>
    <w:multiLevelType w:val="hybridMultilevel"/>
    <w:tmpl w:val="CD5E3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3"/>
  </w:num>
  <w:num w:numId="5">
    <w:abstractNumId w:val="1"/>
  </w:num>
  <w:num w:numId="6">
    <w:abstractNumId w:val="7"/>
  </w:num>
  <w:num w:numId="7">
    <w:abstractNumId w:val="14"/>
  </w:num>
  <w:num w:numId="8">
    <w:abstractNumId w:val="11"/>
  </w:num>
  <w:num w:numId="9">
    <w:abstractNumId w:val="0"/>
  </w:num>
  <w:num w:numId="10">
    <w:abstractNumId w:val="10"/>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49E"/>
    <w:rsid w:val="0002372D"/>
    <w:rsid w:val="00091EA5"/>
    <w:rsid w:val="000C5A9F"/>
    <w:rsid w:val="00141C9D"/>
    <w:rsid w:val="0014403D"/>
    <w:rsid w:val="0014545D"/>
    <w:rsid w:val="00157056"/>
    <w:rsid w:val="001E1E28"/>
    <w:rsid w:val="002104F8"/>
    <w:rsid w:val="0027302F"/>
    <w:rsid w:val="002D7216"/>
    <w:rsid w:val="002E6D99"/>
    <w:rsid w:val="002F1AFC"/>
    <w:rsid w:val="003A3B61"/>
    <w:rsid w:val="003D32F2"/>
    <w:rsid w:val="00420285"/>
    <w:rsid w:val="00441570"/>
    <w:rsid w:val="00442C87"/>
    <w:rsid w:val="00467B0A"/>
    <w:rsid w:val="00482C69"/>
    <w:rsid w:val="0048351F"/>
    <w:rsid w:val="004923D3"/>
    <w:rsid w:val="004B5B50"/>
    <w:rsid w:val="004E1F2B"/>
    <w:rsid w:val="004F583D"/>
    <w:rsid w:val="00521D1F"/>
    <w:rsid w:val="00531F51"/>
    <w:rsid w:val="00581398"/>
    <w:rsid w:val="00585D13"/>
    <w:rsid w:val="005F565C"/>
    <w:rsid w:val="00600A63"/>
    <w:rsid w:val="00607FF9"/>
    <w:rsid w:val="006B649E"/>
    <w:rsid w:val="006D17DE"/>
    <w:rsid w:val="007558F5"/>
    <w:rsid w:val="00863D52"/>
    <w:rsid w:val="00866358"/>
    <w:rsid w:val="00882409"/>
    <w:rsid w:val="008903F9"/>
    <w:rsid w:val="00934694"/>
    <w:rsid w:val="00937D31"/>
    <w:rsid w:val="00955BDD"/>
    <w:rsid w:val="009A330A"/>
    <w:rsid w:val="009D0F5B"/>
    <w:rsid w:val="00A05A0A"/>
    <w:rsid w:val="00A3135E"/>
    <w:rsid w:val="00AB068D"/>
    <w:rsid w:val="00C87CD0"/>
    <w:rsid w:val="00C94D41"/>
    <w:rsid w:val="00CC04FF"/>
    <w:rsid w:val="00E65D76"/>
    <w:rsid w:val="00EB75AE"/>
    <w:rsid w:val="00EE7C93"/>
    <w:rsid w:val="00F13834"/>
    <w:rsid w:val="00F204ED"/>
    <w:rsid w:val="00F53F10"/>
    <w:rsid w:val="00F544AE"/>
    <w:rsid w:val="00F824AC"/>
    <w:rsid w:val="00F90297"/>
    <w:rsid w:val="00FD3D8D"/>
    <w:rsid w:val="00FE4A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DBC755"/>
  <w15:docId w15:val="{DFC71443-1738-42E3-BC5A-D97DB68C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FC"/>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27302F"/>
    <w:pPr>
      <w:ind w:left="720"/>
      <w:contextualSpacing/>
    </w:pPr>
  </w:style>
  <w:style w:type="character" w:styleId="Strong">
    <w:name w:val="Strong"/>
    <w:basedOn w:val="DefaultParagraphFont"/>
    <w:uiPriority w:val="22"/>
    <w:qFormat/>
    <w:rsid w:val="002E6D99"/>
    <w:rPr>
      <w:b/>
      <w:bCs/>
    </w:rPr>
  </w:style>
  <w:style w:type="character" w:styleId="Hyperlink">
    <w:name w:val="Hyperlink"/>
    <w:basedOn w:val="DefaultParagraphFont"/>
    <w:uiPriority w:val="99"/>
    <w:unhideWhenUsed/>
    <w:rsid w:val="00882409"/>
    <w:rPr>
      <w:color w:val="0000FF" w:themeColor="hyperlink"/>
      <w:u w:val="single"/>
    </w:rPr>
  </w:style>
  <w:style w:type="character" w:styleId="UnresolvedMention">
    <w:name w:val="Unresolved Mention"/>
    <w:basedOn w:val="DefaultParagraphFont"/>
    <w:uiPriority w:val="99"/>
    <w:semiHidden/>
    <w:unhideWhenUsed/>
    <w:rsid w:val="00882409"/>
    <w:rPr>
      <w:color w:val="808080"/>
      <w:shd w:val="clear" w:color="auto" w:fill="E6E6E6"/>
    </w:rPr>
  </w:style>
  <w:style w:type="paragraph" w:styleId="Caption">
    <w:name w:val="caption"/>
    <w:basedOn w:val="Normal"/>
    <w:next w:val="Normal"/>
    <w:uiPriority w:val="35"/>
    <w:unhideWhenUsed/>
    <w:qFormat/>
    <w:rsid w:val="004E1F2B"/>
    <w:pPr>
      <w:spacing w:after="200"/>
    </w:pPr>
    <w:rPr>
      <w:rFonts w:eastAsiaTheme="minorHAnsi" w:cstheme="minorBidi"/>
      <w:b/>
      <w:bCs/>
      <w:color w:val="4F81BD" w:themeColor="accent1"/>
      <w:sz w:val="18"/>
      <w:szCs w:val="18"/>
      <w:lang w:val="en-AU"/>
    </w:rPr>
  </w:style>
  <w:style w:type="paragraph" w:styleId="BodyTextIndent">
    <w:name w:val="Body Text Indent"/>
    <w:basedOn w:val="Normal"/>
    <w:link w:val="BodyTextIndentChar"/>
    <w:rsid w:val="00CC04FF"/>
    <w:pPr>
      <w:spacing w:after="120"/>
      <w:ind w:left="283"/>
    </w:pPr>
    <w:rPr>
      <w:sz w:val="24"/>
      <w:szCs w:val="24"/>
      <w:lang w:val="en-AU"/>
    </w:rPr>
  </w:style>
  <w:style w:type="character" w:customStyle="1" w:styleId="BodyTextIndentChar">
    <w:name w:val="Body Text Indent Char"/>
    <w:basedOn w:val="DefaultParagraphFont"/>
    <w:link w:val="BodyTextIndent"/>
    <w:rsid w:val="00CC04FF"/>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581">
      <w:bodyDiv w:val="1"/>
      <w:marLeft w:val="0"/>
      <w:marRight w:val="0"/>
      <w:marTop w:val="0"/>
      <w:marBottom w:val="0"/>
      <w:divBdr>
        <w:top w:val="none" w:sz="0" w:space="0" w:color="auto"/>
        <w:left w:val="none" w:sz="0" w:space="0" w:color="auto"/>
        <w:bottom w:val="none" w:sz="0" w:space="0" w:color="auto"/>
        <w:right w:val="none" w:sz="0" w:space="0" w:color="auto"/>
      </w:divBdr>
    </w:div>
    <w:div w:id="191191031">
      <w:bodyDiv w:val="1"/>
      <w:marLeft w:val="0"/>
      <w:marRight w:val="0"/>
      <w:marTop w:val="0"/>
      <w:marBottom w:val="0"/>
      <w:divBdr>
        <w:top w:val="none" w:sz="0" w:space="0" w:color="auto"/>
        <w:left w:val="none" w:sz="0" w:space="0" w:color="auto"/>
        <w:bottom w:val="none" w:sz="0" w:space="0" w:color="auto"/>
        <w:right w:val="none" w:sz="0" w:space="0" w:color="auto"/>
      </w:divBdr>
      <w:divsChild>
        <w:div w:id="1871259211">
          <w:marLeft w:val="0"/>
          <w:marRight w:val="0"/>
          <w:marTop w:val="0"/>
          <w:marBottom w:val="0"/>
          <w:divBdr>
            <w:top w:val="none" w:sz="0" w:space="0" w:color="auto"/>
            <w:left w:val="none" w:sz="0" w:space="0" w:color="auto"/>
            <w:bottom w:val="none" w:sz="0" w:space="0" w:color="auto"/>
            <w:right w:val="none" w:sz="0" w:space="0" w:color="auto"/>
          </w:divBdr>
        </w:div>
        <w:div w:id="757018271">
          <w:marLeft w:val="0"/>
          <w:marRight w:val="0"/>
          <w:marTop w:val="0"/>
          <w:marBottom w:val="0"/>
          <w:divBdr>
            <w:top w:val="none" w:sz="0" w:space="0" w:color="auto"/>
            <w:left w:val="none" w:sz="0" w:space="0" w:color="auto"/>
            <w:bottom w:val="none" w:sz="0" w:space="0" w:color="auto"/>
            <w:right w:val="none" w:sz="0" w:space="0" w:color="auto"/>
          </w:divBdr>
        </w:div>
        <w:div w:id="836581882">
          <w:marLeft w:val="0"/>
          <w:marRight w:val="0"/>
          <w:marTop w:val="0"/>
          <w:marBottom w:val="0"/>
          <w:divBdr>
            <w:top w:val="none" w:sz="0" w:space="0" w:color="auto"/>
            <w:left w:val="none" w:sz="0" w:space="0" w:color="auto"/>
            <w:bottom w:val="none" w:sz="0" w:space="0" w:color="auto"/>
            <w:right w:val="none" w:sz="0" w:space="0" w:color="auto"/>
          </w:divBdr>
        </w:div>
        <w:div w:id="860245491">
          <w:marLeft w:val="0"/>
          <w:marRight w:val="0"/>
          <w:marTop w:val="0"/>
          <w:marBottom w:val="0"/>
          <w:divBdr>
            <w:top w:val="none" w:sz="0" w:space="0" w:color="auto"/>
            <w:left w:val="none" w:sz="0" w:space="0" w:color="auto"/>
            <w:bottom w:val="none" w:sz="0" w:space="0" w:color="auto"/>
            <w:right w:val="none" w:sz="0" w:space="0" w:color="auto"/>
          </w:divBdr>
        </w:div>
      </w:divsChild>
    </w:div>
    <w:div w:id="1058020012">
      <w:bodyDiv w:val="1"/>
      <w:marLeft w:val="0"/>
      <w:marRight w:val="0"/>
      <w:marTop w:val="0"/>
      <w:marBottom w:val="0"/>
      <w:divBdr>
        <w:top w:val="none" w:sz="0" w:space="0" w:color="auto"/>
        <w:left w:val="none" w:sz="0" w:space="0" w:color="auto"/>
        <w:bottom w:val="none" w:sz="0" w:space="0" w:color="auto"/>
        <w:right w:val="none" w:sz="0" w:space="0" w:color="auto"/>
      </w:divBdr>
    </w:div>
    <w:div w:id="1396976485">
      <w:bodyDiv w:val="1"/>
      <w:marLeft w:val="0"/>
      <w:marRight w:val="0"/>
      <w:marTop w:val="0"/>
      <w:marBottom w:val="0"/>
      <w:divBdr>
        <w:top w:val="none" w:sz="0" w:space="0" w:color="auto"/>
        <w:left w:val="none" w:sz="0" w:space="0" w:color="auto"/>
        <w:bottom w:val="none" w:sz="0" w:space="0" w:color="auto"/>
        <w:right w:val="none" w:sz="0" w:space="0" w:color="auto"/>
      </w:divBdr>
    </w:div>
    <w:div w:id="1458717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ecqld@ava.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Broughton</dc:creator>
  <cp:lastModifiedBy>laurie.dowling@ava.com.au</cp:lastModifiedBy>
  <cp:revision>2</cp:revision>
  <cp:lastPrinted>2018-10-23T04:31:00Z</cp:lastPrinted>
  <dcterms:created xsi:type="dcterms:W3CDTF">2019-06-05T01:52:00Z</dcterms:created>
  <dcterms:modified xsi:type="dcterms:W3CDTF">2019-06-05T01:52:00Z</dcterms:modified>
</cp:coreProperties>
</file>